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outlineLvl w:val="9"/>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海门农商银行2025年度社会责任报告</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rPr>
      </w:pPr>
      <w:bookmarkStart w:id="0" w:name="heading_0"/>
      <w:r>
        <w:rPr>
          <w:rFonts w:hint="eastAsia" w:ascii="黑体" w:hAnsi="黑体" w:eastAsia="黑体" w:cs="黑体"/>
          <w:sz w:val="32"/>
          <w:szCs w:val="32"/>
        </w:rPr>
        <w:t>一、报告编制说明</w:t>
      </w:r>
      <w:bookmarkEnd w:id="0"/>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是江苏海门农村商业银行股份有限公司发布的社会责任报告，回顾了海门农商银行在2025年全面履行社会责任的总体成果，客观呈现公司在政治责任、经济责任、社会责任等方面的实践与成效，主动接受社会各界监督，推动企业与社会、环境协同可持续发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bookmarkStart w:id="1" w:name="heading_1"/>
      <w:r>
        <w:rPr>
          <w:rFonts w:hint="eastAsia" w:ascii="楷体_GB2312" w:hAnsi="楷体_GB2312" w:eastAsia="楷体_GB2312" w:cs="楷体_GB2312"/>
          <w:sz w:val="32"/>
          <w:szCs w:val="32"/>
        </w:rPr>
        <w:t>（一）报告时间范围</w:t>
      </w:r>
      <w:bookmarkEnd w:id="1"/>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2025年1月1日至2025年12月31日，部分内容超出上述范围（如长期公益项目延续、历史数据对比等），均予以明确标注。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bookmarkStart w:id="2" w:name="heading_2"/>
      <w:r>
        <w:rPr>
          <w:rFonts w:hint="eastAsia" w:ascii="楷体_GB2312" w:hAnsi="楷体_GB2312" w:eastAsia="楷体_GB2312" w:cs="楷体_GB2312"/>
          <w:sz w:val="32"/>
          <w:szCs w:val="32"/>
        </w:rPr>
        <w:t>（二）报告发布周期</w:t>
      </w:r>
      <w:bookmarkEnd w:id="2"/>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本报告为年度报告。</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bookmarkStart w:id="3" w:name="heading_3"/>
      <w:r>
        <w:rPr>
          <w:rFonts w:hint="eastAsia" w:ascii="楷体_GB2312" w:hAnsi="楷体_GB2312" w:eastAsia="楷体_GB2312" w:cs="楷体_GB2312"/>
          <w:sz w:val="32"/>
          <w:szCs w:val="32"/>
        </w:rPr>
        <w:t>（三）报告组织范围</w:t>
      </w:r>
      <w:bookmarkEnd w:id="3"/>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报告以江苏海门农村商业银行股份有限公司为主体，涵盖总行</w:t>
      </w:r>
      <w:r>
        <w:rPr>
          <w:rFonts w:hint="eastAsia" w:ascii="仿宋_GB2312" w:hAnsi="仿宋_GB2312" w:eastAsia="仿宋_GB2312" w:cs="仿宋_GB2312"/>
          <w:sz w:val="32"/>
          <w:szCs w:val="32"/>
          <w:lang w:eastAsia="zh-CN"/>
        </w:rPr>
        <w:t>各部门</w:t>
      </w:r>
      <w:r>
        <w:rPr>
          <w:rFonts w:hint="eastAsia" w:ascii="仿宋_GB2312" w:hAnsi="仿宋_GB2312" w:eastAsia="仿宋_GB2312" w:cs="仿宋_GB2312"/>
          <w:sz w:val="32"/>
          <w:szCs w:val="32"/>
        </w:rPr>
        <w:t>、各分支机构</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bookmarkStart w:id="4" w:name="heading_4"/>
      <w:r>
        <w:rPr>
          <w:rFonts w:hint="eastAsia" w:ascii="楷体_GB2312" w:hAnsi="楷体_GB2312" w:eastAsia="楷体_GB2312" w:cs="楷体_GB2312"/>
          <w:sz w:val="32"/>
          <w:szCs w:val="32"/>
        </w:rPr>
        <w:t>（四）报告数据说明</w:t>
      </w:r>
      <w:bookmarkEnd w:id="4"/>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报告中的财务数据均来自《</w:t>
      </w:r>
      <w:r>
        <w:rPr>
          <w:rFonts w:hint="eastAsia" w:ascii="仿宋_GB2312" w:hAnsi="仿宋_GB2312" w:eastAsia="仿宋_GB2312" w:cs="仿宋_GB2312"/>
          <w:sz w:val="32"/>
          <w:szCs w:val="32"/>
          <w:lang w:eastAsia="zh-CN"/>
        </w:rPr>
        <w:t>海门农商银行</w:t>
      </w:r>
      <w:r>
        <w:rPr>
          <w:rFonts w:hint="eastAsia" w:ascii="仿宋_GB2312" w:hAnsi="仿宋_GB2312" w:eastAsia="仿宋_GB2312" w:cs="仿宋_GB2312"/>
          <w:sz w:val="32"/>
          <w:szCs w:val="32"/>
          <w:lang w:val="en-US" w:eastAsia="zh-CN"/>
        </w:rPr>
        <w:t>2025年度资产负债管理</w:t>
      </w:r>
      <w:r>
        <w:rPr>
          <w:rFonts w:hint="eastAsia" w:ascii="仿宋_GB2312" w:hAnsi="仿宋_GB2312" w:eastAsia="仿宋_GB2312" w:cs="仿宋_GB2312"/>
          <w:sz w:val="32"/>
          <w:szCs w:val="32"/>
        </w:rPr>
        <w:t>报告》；其他数据</w:t>
      </w:r>
      <w:r>
        <w:rPr>
          <w:rFonts w:hint="eastAsia" w:ascii="仿宋_GB2312" w:hAnsi="仿宋_GB2312" w:eastAsia="仿宋_GB2312" w:cs="仿宋_GB2312"/>
          <w:sz w:val="32"/>
          <w:szCs w:val="32"/>
          <w:lang w:eastAsia="zh-CN"/>
        </w:rPr>
        <w:t>来自《海门农商银行</w:t>
      </w:r>
      <w:r>
        <w:rPr>
          <w:rFonts w:hint="eastAsia" w:ascii="仿宋_GB2312" w:hAnsi="仿宋_GB2312" w:eastAsia="仿宋_GB2312" w:cs="仿宋_GB2312"/>
          <w:sz w:val="32"/>
          <w:szCs w:val="32"/>
          <w:lang w:val="en-US" w:eastAsia="zh-CN"/>
        </w:rPr>
        <w:t>2025年度信息披露报告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，部分包括以前年度数据，主要来自公司内部文件、相关统计资料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可能会有部分数据因统计口径因素（如合并报表口径和银行报表口径）与年报数据有差异，以年报数据为准。</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rPr>
      </w:pPr>
      <w:bookmarkStart w:id="5" w:name="heading_5"/>
      <w:r>
        <w:rPr>
          <w:rFonts w:hint="eastAsia" w:ascii="黑体" w:hAnsi="黑体" w:eastAsia="黑体" w:cs="黑体"/>
          <w:sz w:val="32"/>
          <w:szCs w:val="32"/>
        </w:rPr>
        <w:t>二、公司概况</w:t>
      </w:r>
      <w:bookmarkEnd w:id="5"/>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bookmarkStart w:id="6" w:name="heading_6"/>
      <w:r>
        <w:rPr>
          <w:rFonts w:hint="eastAsia" w:ascii="楷体_GB2312" w:hAnsi="楷体_GB2312" w:eastAsia="楷体_GB2312" w:cs="楷体_GB2312"/>
          <w:sz w:val="32"/>
          <w:szCs w:val="32"/>
        </w:rPr>
        <w:t>（一）基本信息</w:t>
      </w:r>
      <w:bookmarkEnd w:id="6"/>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江苏海门农村商业银行股份有限公司成立于2010年12月16日，现有注册资本106717.3870万元，在岗员工</w:t>
      </w:r>
      <w:r>
        <w:rPr>
          <w:rFonts w:hint="eastAsia" w:ascii="仿宋_GB2312" w:hAnsi="仿宋_GB2312" w:eastAsia="仿宋_GB2312" w:cs="仿宋_GB2312"/>
          <w:sz w:val="32"/>
          <w:szCs w:val="32"/>
          <w:lang w:val="en-US" w:eastAsia="zh-CN"/>
        </w:rPr>
        <w:t>606人</w:t>
      </w:r>
      <w:r>
        <w:rPr>
          <w:rFonts w:hint="eastAsia" w:ascii="仿宋_GB2312" w:hAnsi="仿宋_GB2312" w:eastAsia="仿宋_GB2312" w:cs="仿宋_GB2312"/>
          <w:sz w:val="32"/>
          <w:szCs w:val="32"/>
        </w:rPr>
        <w:t>，下辖42个网点，网点全面覆盖全市所有乡镇，2009年在崇明岛上设立海永支行使江苏省消灭了唯一的金融机构空白乡镇。</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2025年，海门农商银行紧紧围绕高质量发展</w:t>
      </w:r>
      <w:r>
        <w:rPr>
          <w:rFonts w:hint="eastAsia" w:ascii="仿宋_GB2312" w:hAnsi="仿宋_GB2312" w:eastAsia="仿宋_GB2312" w:cs="仿宋_GB2312"/>
          <w:sz w:val="32"/>
          <w:szCs w:val="32"/>
          <w:lang w:eastAsia="zh-CN"/>
        </w:rPr>
        <w:t>主题</w:t>
      </w:r>
      <w:r>
        <w:rPr>
          <w:rFonts w:hint="eastAsia" w:ascii="仿宋_GB2312" w:hAnsi="仿宋_GB2312" w:eastAsia="仿宋_GB2312" w:cs="仿宋_GB2312"/>
          <w:sz w:val="32"/>
          <w:szCs w:val="32"/>
        </w:rPr>
        <w:t>，全面强化党建引领、坚持审慎经营、坚守主责主业、突出做小做散，深化改革创新、强化精细管理、提升服务质效，各项业务实现</w:t>
      </w:r>
      <w:r>
        <w:rPr>
          <w:rFonts w:hint="eastAsia" w:ascii="仿宋_GB2312" w:hAnsi="仿宋_GB2312" w:eastAsia="仿宋_GB2312" w:cs="仿宋_GB2312"/>
          <w:sz w:val="32"/>
          <w:szCs w:val="32"/>
          <w:lang w:eastAsia="zh-CN"/>
        </w:rPr>
        <w:t>稳健</w:t>
      </w:r>
      <w:r>
        <w:rPr>
          <w:rFonts w:hint="eastAsia" w:ascii="仿宋_GB2312" w:hAnsi="仿宋_GB2312" w:eastAsia="仿宋_GB2312" w:cs="仿宋_GB2312"/>
          <w:sz w:val="32"/>
          <w:szCs w:val="32"/>
        </w:rPr>
        <w:t>发展，持续巩固区域金融排头兵地位。至2025年末，全行各项存款余额626.51亿元，较年初增加43.15亿元，增幅7.40%；各项贷款余额489.42亿元，较年初增加36.24亿元，增幅8.00%；存贷款市场份额继续稳居海门区首位。改制以来，我行累计纳税21.52亿元，2025年已上缴入库税金1.93亿元，纳税贡献位居海门服务业企业首位，以实际行动反哺地方发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bookmarkStart w:id="7" w:name="heading_7"/>
      <w:r>
        <w:rPr>
          <w:rFonts w:hint="eastAsia" w:ascii="楷体_GB2312" w:hAnsi="楷体_GB2312" w:eastAsia="楷体_GB2312" w:cs="楷体_GB2312"/>
          <w:sz w:val="32"/>
          <w:szCs w:val="32"/>
        </w:rPr>
        <w:t>（二）公司治理</w:t>
      </w:r>
      <w:bookmarkEnd w:id="7"/>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公司治理机制是实现可持续发展的重中之重，2025年，公司持续坚持规范运作、科学谋划，进一步健全运行稳健、决策科学、监督有效的工作机制，不断优化公司治理体系，提升治理效能，为高质量发展提供坚实制度保障。</w:t>
      </w:r>
    </w:p>
    <w:p>
      <w:pPr>
        <w:keepNext w:val="0"/>
        <w:keepLines w:val="0"/>
        <w:pageBreakBefore w:val="0"/>
        <w:kinsoku/>
        <w:wordWrap/>
        <w:overflowPunct/>
        <w:topLinePunct w:val="0"/>
        <w:autoSpaceDE/>
        <w:autoSpaceDN/>
        <w:bidi w:val="0"/>
        <w:adjustRightInd/>
        <w:snapToGrid/>
        <w:spacing w:line="54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健全规范运作机制。</w:t>
      </w:r>
      <w:r>
        <w:rPr>
          <w:rFonts w:hint="eastAsia" w:ascii="仿宋_GB2312" w:hAnsi="仿宋_GB2312" w:eastAsia="仿宋_GB2312" w:cs="仿宋_GB2312"/>
          <w:sz w:val="32"/>
          <w:szCs w:val="32"/>
        </w:rPr>
        <w:t>公司严格遵循《公司法》《商业银行法》《商业银行公司治理指引》等相关法律法规和监管部门规定，按照公司章程和内部制度规范运作，各治理主体职责明晰、独立运作、相互配合、相互协同、有效制衡，保障公司治理合法合规、高效有序。2025年度</w:t>
      </w:r>
      <w:r>
        <w:rPr>
          <w:rFonts w:hint="eastAsia" w:ascii="仿宋_GB2312" w:hAnsi="仿宋_GB2312" w:eastAsia="仿宋_GB2312" w:cs="仿宋_GB2312"/>
          <w:color w:val="000000"/>
          <w:sz w:val="32"/>
          <w:szCs w:val="32"/>
          <w:lang w:val="en-US" w:eastAsia="zh-CN"/>
        </w:rPr>
        <w:t>组织召开股东会2次，审议议案20项，听取报告3项；召开董事会会议11次，审议议案115项，听取报告28项</w:t>
      </w:r>
      <w:r>
        <w:rPr>
          <w:rFonts w:hint="eastAsia" w:ascii="仿宋_GB2312" w:hAnsi="仿宋_GB2312" w:eastAsia="仿宋_GB2312" w:cs="仿宋_GB2312"/>
          <w:sz w:val="32"/>
          <w:szCs w:val="32"/>
        </w:rPr>
        <w:t>，为全行稳健发展科学决策、有效施策。</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完善科学决策机制。</w:t>
      </w:r>
      <w:r>
        <w:rPr>
          <w:rFonts w:hint="eastAsia" w:ascii="仿宋_GB2312" w:hAnsi="仿宋_GB2312" w:eastAsia="仿宋_GB2312" w:cs="仿宋_GB2312"/>
          <w:sz w:val="32"/>
          <w:szCs w:val="32"/>
        </w:rPr>
        <w:t>持续发挥相关人员资源优势，进一步健全董事会专门委员会运行机制，充分利用独立董事的专业知识和企业经营理念，开展专题调研、行业研判，聚焦普惠金融、风险管理、数字化转型等重点领域，研究解决思路和办法，切实提升董事会对经营指导的前瞻性、科学性和针对性，推动决策落地见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落实信息披露机制。</w:t>
      </w:r>
      <w:r>
        <w:rPr>
          <w:rFonts w:hint="eastAsia" w:ascii="仿宋_GB2312" w:hAnsi="仿宋_GB2312" w:eastAsia="仿宋_GB2312" w:cs="仿宋_GB2312"/>
          <w:sz w:val="32"/>
          <w:szCs w:val="32"/>
        </w:rPr>
        <w:t>认真执行各项监管规定，严格按照本行信息披露管理办法，依法合规开展信息披露工作，2025年持续在《海门日报》、本行官方网站等渠道进行信息披露，做到及时、准确、完整，进一步完善披露内容、优化披露形式，全面披露涉及股东权益、经营发展、风险管控等相关信息，诚恳接受股东和社会各界的监督，提升企业透明度和公信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bookmarkStart w:id="8" w:name="heading_8"/>
      <w:r>
        <w:rPr>
          <w:rFonts w:hint="eastAsia" w:ascii="楷体_GB2312" w:hAnsi="楷体_GB2312" w:eastAsia="楷体_GB2312" w:cs="楷体_GB2312"/>
          <w:sz w:val="32"/>
          <w:szCs w:val="32"/>
        </w:rPr>
        <w:t>（三）风险管理</w:t>
      </w:r>
      <w:bookmarkEnd w:id="8"/>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2025年，我行坚持底线思维，聚焦“控风险、守底线、提效能”核心目标，持续完善风险管理体系，强化全流程风险管控，着力提升风险预防、识别、监测、处置能力，各类风险总体可控。</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信用风险。</w:t>
      </w:r>
      <w:r>
        <w:rPr>
          <w:rFonts w:hint="eastAsia" w:ascii="仿宋_GB2312" w:hAnsi="仿宋_GB2312" w:eastAsia="仿宋_GB2312" w:cs="仿宋_GB2312"/>
          <w:sz w:val="32"/>
          <w:szCs w:val="32"/>
        </w:rPr>
        <w:t>持续围绕“降风险、不良清收”核心目标，以“控新降旧”为导向实施精细化管理，优化信贷审批流程，强化贷后管理，聚焦重点领域、重点客户风险防控，资产质量保持稳定。2025年末，五级分类不良贷款余额6.12亿元，不良贷款比例为1.28%，</w:t>
      </w:r>
      <w:r>
        <w:rPr>
          <w:rFonts w:hint="eastAsia" w:ascii="仿宋_GB2312" w:hAnsi="仿宋_GB2312" w:eastAsia="仿宋_GB2312" w:cs="仿宋_GB2312"/>
          <w:sz w:val="32"/>
          <w:szCs w:val="32"/>
          <w:lang w:eastAsia="zh-CN"/>
        </w:rPr>
        <w:t>均</w:t>
      </w:r>
      <w:r>
        <w:rPr>
          <w:rFonts w:hint="eastAsia" w:ascii="仿宋_GB2312" w:hAnsi="仿宋_GB2312" w:eastAsia="仿宋_GB2312" w:cs="仿宋_GB2312"/>
          <w:sz w:val="32"/>
          <w:szCs w:val="32"/>
        </w:rPr>
        <w:t>较年初持平；拨贷比为2.59%，较年初下降0.06个百分点；拨备覆盖率为202.29%，较年初下降4.68个百分点。全年持续加大不良清收力度，创新清收方式，提升清收效能，全年累计清收表内外不良贷款本息2.86亿元，有效化解存量风险，切实筑牢资产质量生命线。</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操作风险。</w:t>
      </w:r>
      <w:r>
        <w:rPr>
          <w:rFonts w:hint="eastAsia" w:ascii="仿宋_GB2312" w:hAnsi="仿宋_GB2312" w:eastAsia="仿宋_GB2312" w:cs="仿宋_GB2312"/>
          <w:sz w:val="32"/>
          <w:szCs w:val="32"/>
        </w:rPr>
        <w:t>严格遵循操作风险管理监管要求，进一步完善与我行业务性质、规模和复杂程度相适应的操作风险管理体系，强化岗位制衡，规范操作流程。定期对全行员工岗位回避情况以及关键岗位、重要岗位轮岗情况进行专项排查，确保回避、轮岗制度落实到位；持续开展多种形式的案防培训、案件警示教育，按年度排查计划开展员工行为管理、账户异常交易、涉诉情况、合规飞行检查等多项风险排查，对发现问题深挖根源、强化整改、严肃问责，筑牢操作风险防线。</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流动性风险。</w:t>
      </w:r>
      <w:r>
        <w:rPr>
          <w:rFonts w:hint="eastAsia" w:ascii="仿宋_GB2312" w:hAnsi="仿宋_GB2312" w:eastAsia="仿宋_GB2312" w:cs="仿宋_GB2312"/>
          <w:sz w:val="32"/>
          <w:szCs w:val="32"/>
        </w:rPr>
        <w:t>进一步构建完善的流动性风险管理体系，明确职责分工，优化管理框架和管理策略，培育成熟的风险管理文化。结合业务发展实际和市场变化，定期开展流动性风险压力测试，审慎评估未来流动性需求；不断完善流动性风险应急计划，强化各部门之间的沟通协同，提升流动性风险应对效率，确保资金流动性充足、运转顺畅。</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市场风险。</w:t>
      </w:r>
      <w:r>
        <w:rPr>
          <w:rFonts w:hint="eastAsia" w:ascii="仿宋_GB2312" w:hAnsi="仿宋_GB2312" w:eastAsia="仿宋_GB2312" w:cs="仿宋_GB2312"/>
          <w:sz w:val="32"/>
          <w:szCs w:val="32"/>
        </w:rPr>
        <w:t>坚持“独立性、收益与风险匹配、定量与定性结合、渐进</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动态调整”的基本原则，严格分离风险管理职能与业务经营职能，确保承担的市场风险与经营目标、发展规划和财务预算相匹配。采用定量与定性相结合的分析方式，密切关注宏观经济走势和市场变化，及时调整市场风险管理政策、制度和方法；合理优化存贷款定价策略，强化议价精细化管理，稳健开展资金业务，在风险可控前提下实现收益最大化，持续提升应对市场风险的能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声誉风险。</w:t>
      </w:r>
      <w:r>
        <w:rPr>
          <w:rFonts w:hint="eastAsia" w:ascii="仿宋_GB2312" w:hAnsi="仿宋_GB2312" w:eastAsia="仿宋_GB2312" w:cs="仿宋_GB2312"/>
          <w:sz w:val="32"/>
          <w:szCs w:val="32"/>
        </w:rPr>
        <w:t>持续压实声誉风险管理责任，强化声誉风险管理与合规、案防、诉讼、消保等系统联动防控机制，做到早识别、早预警、早处置、早化解。进一步完善“横向到边、纵向到底”的声誉风险多层级联防联控网络，充分发挥基层网点员工的主动性，筑牢声誉风险防控第一道防线；加强与网监部门、属地媒体等的定期沟通，营造良好外部环境；持续优化消费者权益保护机制，畅通投诉渠道，提升投诉处置效率和满意度，切实维护企业品牌形象。</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科技风险。</w:t>
      </w:r>
      <w:r>
        <w:rPr>
          <w:rFonts w:hint="eastAsia" w:ascii="仿宋_GB2312" w:hAnsi="仿宋_GB2312" w:eastAsia="仿宋_GB2312" w:cs="仿宋_GB2312"/>
          <w:sz w:val="32"/>
          <w:szCs w:val="32"/>
        </w:rPr>
        <w:t>持续筑牢科技安全防线，</w:t>
      </w:r>
      <w:r>
        <w:rPr>
          <w:rFonts w:hint="eastAsia" w:ascii="仿宋_GB2312" w:hAnsi="仿宋_GB2312" w:eastAsia="仿宋_GB2312" w:cs="仿宋_GB2312"/>
          <w:kern w:val="32"/>
          <w:sz w:val="32"/>
          <w:szCs w:val="32"/>
        </w:rPr>
        <w:t>建立“两高一弱”长效治理机制，提升系统健壮性；定期组织网络、服务器、UPS等应急演练</w:t>
      </w:r>
      <w:r>
        <w:rPr>
          <w:rFonts w:hint="eastAsia" w:ascii="仿宋_GB2312" w:hAnsi="仿宋_GB2312" w:eastAsia="仿宋_GB2312" w:cs="仿宋_GB2312"/>
          <w:kern w:val="32"/>
          <w:sz w:val="32"/>
          <w:szCs w:val="32"/>
          <w:lang w:eastAsia="zh-CN"/>
        </w:rPr>
        <w:t>，</w:t>
      </w:r>
      <w:r>
        <w:rPr>
          <w:rFonts w:hint="eastAsia" w:ascii="仿宋_GB2312" w:hAnsi="仿宋_GB2312" w:eastAsia="仿宋_GB2312" w:cs="仿宋_GB2312"/>
          <w:kern w:val="32"/>
          <w:sz w:val="32"/>
          <w:szCs w:val="32"/>
        </w:rPr>
        <w:t>强化关键环节的管控，夯实业务连续性的安全根基</w:t>
      </w:r>
      <w:r>
        <w:rPr>
          <w:rFonts w:hint="eastAsia" w:ascii="仿宋_GB2312" w:hAnsi="仿宋_GB2312" w:eastAsia="仿宋_GB2312" w:cs="仿宋_GB2312"/>
          <w:kern w:val="32"/>
          <w:sz w:val="32"/>
          <w:szCs w:val="32"/>
          <w:lang w:eastAsia="zh-CN"/>
        </w:rPr>
        <w:t>；</w:t>
      </w:r>
      <w:r>
        <w:rPr>
          <w:rFonts w:hint="eastAsia" w:ascii="仿宋_GB2312" w:hAnsi="仿宋_GB2312" w:eastAsia="仿宋_GB2312" w:cs="仿宋_GB2312"/>
          <w:kern w:val="32"/>
          <w:sz w:val="32"/>
          <w:szCs w:val="32"/>
        </w:rPr>
        <w:t>精细化巡检排查，落实中心机房一日四巡检、网点机房两巡检制度，强化风险防控；优化网络防护架构，定期开展互联网系统渗透测试及漏扫工作，提升系统抗风险能力。</w:t>
      </w:r>
      <w:r>
        <w:rPr>
          <w:rFonts w:hint="eastAsia" w:ascii="仿宋_GB2312" w:hAnsi="仿宋_GB2312" w:eastAsia="仿宋_GB2312" w:cs="仿宋_GB2312"/>
          <w:sz w:val="32"/>
          <w:szCs w:val="32"/>
        </w:rPr>
        <w:t>报告期内，全行各类业务系统与管理系统总体运行稳定，日常维护规范有序，未出现重大科技风险事故，为业务发展提供坚实科技支撑。</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bookmarkStart w:id="9" w:name="heading_9"/>
      <w:r>
        <w:rPr>
          <w:rFonts w:hint="eastAsia" w:ascii="楷体_GB2312" w:hAnsi="楷体_GB2312" w:eastAsia="楷体_GB2312" w:cs="楷体_GB2312"/>
          <w:sz w:val="32"/>
          <w:szCs w:val="32"/>
        </w:rPr>
        <w:t>（四）合规经营</w:t>
      </w:r>
      <w:bookmarkEnd w:id="9"/>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我行持续坚守合规经营底线，以“合规引领发展、合规保障安全”为理念，不断强化合规案防建设，切实履行反洗钱、消费者权益保护等法定职责，推动合规经营融入业务全流程，为各项业务稳健发展提供有力保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压实合规案防建设。</w:t>
      </w:r>
      <w:r>
        <w:rPr>
          <w:rFonts w:hint="eastAsia" w:ascii="仿宋_GB2312" w:hAnsi="仿宋_GB2312" w:eastAsia="仿宋_GB2312" w:cs="仿宋_GB2312"/>
          <w:sz w:val="32"/>
          <w:szCs w:val="32"/>
        </w:rPr>
        <w:t>持续加大案件防控力度，不断完善内控制度体系，2025年全年新增制度文件</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项、修订制度文件</w:t>
      </w:r>
      <w:r>
        <w:rPr>
          <w:rFonts w:hint="eastAsia" w:ascii="仿宋_GB2312" w:hAnsi="仿宋_GB2312" w:eastAsia="仿宋_GB2312" w:cs="仿宋_GB2312"/>
          <w:sz w:val="32"/>
          <w:szCs w:val="32"/>
          <w:lang w:val="en-US" w:eastAsia="zh-CN"/>
        </w:rPr>
        <w:t>84</w:t>
      </w:r>
      <w:r>
        <w:rPr>
          <w:rFonts w:hint="eastAsia" w:ascii="仿宋_GB2312" w:hAnsi="仿宋_GB2312" w:eastAsia="仿宋_GB2312" w:cs="仿宋_GB2312"/>
          <w:sz w:val="32"/>
          <w:szCs w:val="32"/>
        </w:rPr>
        <w:t>项，进一步健全内控合规管理框架。围绕合规经营重点，将合规履职、案防排查、员工管理及教育培训充分融合，持续开展“维秩序 优服务 强合规”等专项活动，序时开展信贷管理、内控制度执行、员工行为管理等案件风险排查，坚持“横向到边、纵向到底”原则，确保排查细致、整改到位。常态化开展员工行为管理大排查，从员工征信、谈心谈话、家访、客户走访、外围公检法排查、员工账户监测等多维度深入自查，全面梳理内控合规薄弱环节，构建案防管理长效机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履行反洗钱的职责和义务。</w:t>
      </w:r>
      <w:r>
        <w:rPr>
          <w:rFonts w:hint="eastAsia" w:ascii="仿宋_GB2312" w:hAnsi="仿宋_GB2312" w:eastAsia="仿宋_GB2312" w:cs="仿宋_GB2312"/>
          <w:sz w:val="32"/>
          <w:szCs w:val="32"/>
        </w:rPr>
        <w:t>完善反洗钱工作领导体系，明确学习频率和内容，强化全员反洗钱意识。加强部门联动、分工协作，充分发挥反洗钱领导小组统筹协调作用，推进全行反洗钱工作落到实处；开展全行反洗钱督导检查，规范反洗钱操作流程，强化客户身份识别、交易监测分析等工作，反洗钱风险防控能力持续增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落实消费者权益保护。</w:t>
      </w:r>
      <w:r>
        <w:rPr>
          <w:rFonts w:hint="eastAsia" w:ascii="仿宋_GB2312" w:hAnsi="仿宋_GB2312" w:eastAsia="仿宋_GB2312" w:cs="仿宋_GB2312"/>
          <w:sz w:val="32"/>
          <w:szCs w:val="32"/>
        </w:rPr>
        <w:t>切实承担消费者权益保护主体责任，持续加强消保工作体制机制建设，不断优化《海门农商银行</w:t>
      </w:r>
      <w:r>
        <w:rPr>
          <w:rFonts w:hint="eastAsia" w:ascii="仿宋_GB2312" w:hAnsi="仿宋_GB2312" w:eastAsia="仿宋_GB2312" w:cs="仿宋_GB2312"/>
          <w:sz w:val="32"/>
          <w:szCs w:val="32"/>
          <w:lang w:eastAsia="zh-CN"/>
        </w:rPr>
        <w:t>金融消费者权益保护工作</w:t>
      </w:r>
      <w:r>
        <w:rPr>
          <w:rFonts w:hint="eastAsia" w:ascii="仿宋_GB2312" w:hAnsi="仿宋_GB2312" w:eastAsia="仿宋_GB2312" w:cs="仿宋_GB2312"/>
          <w:sz w:val="32"/>
          <w:szCs w:val="32"/>
        </w:rPr>
        <w:t>管理办法》，建立健全内部沟通协调、信息共享、协同处理的投诉工作机制，实现投诉信息化处理、全流程管控，提升投诉处置效率和客户满意度。年初制定年度金融知识教育宣传计划，将金融知识宣传融入经营业务全流程，充分利用“315”“普及金融知识万里行”“金融知识</w:t>
      </w:r>
      <w:r>
        <w:rPr>
          <w:rFonts w:hint="eastAsia" w:ascii="仿宋_GB2312" w:hAnsi="仿宋_GB2312" w:eastAsia="仿宋_GB2312" w:cs="仿宋_GB2312"/>
          <w:sz w:val="32"/>
          <w:szCs w:val="32"/>
          <w:lang w:eastAsia="zh-CN"/>
        </w:rPr>
        <w:t>宣传周</w:t>
      </w:r>
      <w:r>
        <w:rPr>
          <w:rFonts w:hint="eastAsia" w:ascii="仿宋_GB2312" w:hAnsi="仿宋_GB2312" w:eastAsia="仿宋_GB2312" w:cs="仿宋_GB2312"/>
          <w:sz w:val="32"/>
          <w:szCs w:val="32"/>
        </w:rPr>
        <w:t>”等契机，开展集中式教育宣传活动，重点面向老年人、农户、小微企业主等群体，普及金融知识、防范金融诈骗，切实保障消费者合法权益。</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rPr>
      </w:pPr>
      <w:bookmarkStart w:id="10" w:name="heading_10"/>
      <w:r>
        <w:rPr>
          <w:rFonts w:hint="eastAsia" w:ascii="黑体" w:hAnsi="黑体" w:eastAsia="黑体" w:cs="黑体"/>
          <w:sz w:val="32"/>
          <w:szCs w:val="32"/>
        </w:rPr>
        <w:t>三、政治责任</w:t>
      </w:r>
      <w:bookmarkEnd w:id="10"/>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2025年，我行牢记农商姓党的政治属性，以对党绝对忠诚践行金融为民初心，深入学习贯彻党的二十届</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中全会精神和</w:t>
      </w:r>
      <w:r>
        <w:rPr>
          <w:rFonts w:hint="eastAsia" w:ascii="仿宋_GB2312" w:hAnsi="仿宋_GB2312" w:eastAsia="仿宋_GB2312" w:cs="仿宋_GB2312"/>
          <w:spacing w:val="0"/>
          <w:kern w:val="32"/>
          <w:sz w:val="32"/>
          <w:szCs w:val="32"/>
          <w:lang w:val="en-US" w:eastAsia="zh-CN" w:bidi="ar-SA"/>
        </w:rPr>
        <w:t>中央八项规定精神</w:t>
      </w:r>
      <w:r>
        <w:rPr>
          <w:rFonts w:hint="eastAsia" w:ascii="仿宋_GB2312" w:hAnsi="仿宋_GB2312" w:eastAsia="仿宋_GB2312" w:cs="仿宋_GB2312"/>
          <w:sz w:val="32"/>
          <w:szCs w:val="32"/>
        </w:rPr>
        <w:t>，切实提高政治站位，将思想和行动高度统一到党中央决策部署上来，与党同心同行，扎实履行金融政治责任，以高质量党建引领金融高质量发展。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强化政治引领。</w:t>
      </w:r>
      <w:r>
        <w:rPr>
          <w:rFonts w:hint="eastAsia" w:ascii="仿宋_GB2312" w:hAnsi="仿宋_GB2312" w:eastAsia="仿宋_GB2312" w:cs="仿宋_GB2312"/>
          <w:sz w:val="32"/>
          <w:szCs w:val="32"/>
        </w:rPr>
        <w:t>坚持不懈用习近平新时代中国特色社会主义思想武装头脑、指导实践、推动工作，严格落实“第一议题”制度和理论中心组学习制度，以“关键少数”示范带动“绝大多数”</w:t>
      </w:r>
      <w:r>
        <w:rPr>
          <w:rFonts w:hint="eastAsia" w:ascii="仿宋_GB2312" w:eastAsia="仿宋_GB2312"/>
          <w:kern w:val="32"/>
          <w:sz w:val="32"/>
          <w:szCs w:val="32"/>
        </w:rPr>
        <w:t>，</w:t>
      </w:r>
      <w:r>
        <w:rPr>
          <w:rFonts w:hint="eastAsia" w:ascii="仿宋_GB2312" w:eastAsia="仿宋_GB2312"/>
          <w:kern w:val="32"/>
          <w:sz w:val="32"/>
          <w:szCs w:val="32"/>
          <w:lang w:val="en-US" w:eastAsia="zh-CN"/>
        </w:rPr>
        <w:t>全年组织第一议题学习共46次。</w:t>
      </w:r>
      <w:r>
        <w:rPr>
          <w:rFonts w:hint="eastAsia" w:ascii="仿宋_GB2312" w:hAnsi="仿宋_GB2312" w:eastAsia="仿宋_GB2312" w:cs="仿宋_GB2312"/>
          <w:sz w:val="32"/>
          <w:szCs w:val="32"/>
        </w:rPr>
        <w:t>不断健全民主集中制，坚持重大决策征求意见、重大问题集中讨论、重大事项集体决策，保证议事决策言路畅通、公正透明，全年组织召开党委会</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次，讨论审议“三重一大”事项24</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项，确保各项决策符合党中央部署和监管要求。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深化学习教育。</w:t>
      </w:r>
      <w:r>
        <w:rPr>
          <w:rFonts w:hint="eastAsia" w:ascii="仿宋_GB2312" w:hAnsi="仿宋_GB2312" w:eastAsia="仿宋_GB2312" w:cs="仿宋_GB2312"/>
          <w:sz w:val="32"/>
          <w:szCs w:val="32"/>
        </w:rPr>
        <w:t>持续将党纪学习教育作为推动全面从严治党、从严治行向纵深发展的重要举措，组织党员干部深入学习</w:t>
      </w:r>
      <w:r>
        <w:rPr>
          <w:rFonts w:hint="eastAsia" w:ascii="仿宋_GB2312" w:hAnsi="仿宋_GB2312" w:eastAsia="仿宋_GB2312" w:cs="仿宋_GB2312"/>
          <w:spacing w:val="0"/>
          <w:kern w:val="32"/>
          <w:sz w:val="32"/>
          <w:szCs w:val="32"/>
          <w:lang w:val="en-US" w:eastAsia="zh-CN" w:bidi="ar-SA"/>
        </w:rPr>
        <w:t>中央八项规定精神</w:t>
      </w:r>
      <w:r>
        <w:rPr>
          <w:rFonts w:hint="eastAsia" w:ascii="仿宋_GB2312" w:hAnsi="仿宋_GB2312" w:eastAsia="仿宋_GB2312" w:cs="仿宋_GB2312"/>
          <w:sz w:val="32"/>
          <w:szCs w:val="32"/>
        </w:rPr>
        <w:t>，推进学习教育内化于心、外化于行。常态化开展警示教育，以案说德、以案说纪、以案说法、以案说责，用“身边事”警醒“身边人”，不断增强全行干部员工的纪律意识、规矩意识，筑牢拒腐防变思想防线。</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深化党建共建。</w:t>
      </w:r>
      <w:r>
        <w:rPr>
          <w:rFonts w:hint="eastAsia" w:ascii="仿宋_GB2312" w:hAnsi="仿宋_GB2312" w:eastAsia="仿宋_GB2312" w:cs="仿宋_GB2312"/>
          <w:sz w:val="32"/>
          <w:szCs w:val="32"/>
        </w:rPr>
        <w:t>按照“围绕中心抓党建，抓好党建促发展”的思路，持续推进党建与业务深度融合，将党建共建作为外联外拓、服务地方的重要抓手，新增与区总工会、重点乡镇党委、重点企业等10余</w:t>
      </w:r>
      <w:r>
        <w:rPr>
          <w:rFonts w:hint="eastAsia" w:ascii="仿宋_GB2312" w:hAnsi="仿宋_GB2312" w:eastAsia="仿宋_GB2312" w:cs="仿宋_GB2312"/>
          <w:sz w:val="32"/>
          <w:szCs w:val="32"/>
          <w:lang w:val="en-US" w:eastAsia="zh-CN"/>
        </w:rPr>
        <w:t>家</w:t>
      </w:r>
      <w:r>
        <w:rPr>
          <w:rFonts w:hint="eastAsia" w:ascii="仿宋_GB2312" w:hAnsi="仿宋_GB2312" w:eastAsia="仿宋_GB2312" w:cs="仿宋_GB2312"/>
          <w:sz w:val="32"/>
          <w:szCs w:val="32"/>
        </w:rPr>
        <w:t>单位缔结党建共建</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战略合作关系，累计共建单位达30余</w:t>
      </w:r>
      <w:r>
        <w:rPr>
          <w:rFonts w:hint="eastAsia" w:ascii="仿宋_GB2312" w:hAnsi="仿宋_GB2312" w:eastAsia="仿宋_GB2312" w:cs="仿宋_GB2312"/>
          <w:sz w:val="32"/>
          <w:szCs w:val="32"/>
          <w:lang w:eastAsia="zh-CN"/>
        </w:rPr>
        <w:t>家</w:t>
      </w:r>
      <w:r>
        <w:rPr>
          <w:rFonts w:hint="eastAsia" w:ascii="仿宋_GB2312" w:hAnsi="仿宋_GB2312" w:eastAsia="仿宋_GB2312" w:cs="仿宋_GB2312"/>
          <w:sz w:val="32"/>
          <w:szCs w:val="32"/>
        </w:rPr>
        <w:t>。持续推动普惠金融服务点建设融入地方政府“四沉四提四融合”党建引领基层治理体系，新增“四务融合”普惠金融服务点</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个，进一步延伸党建服务触角，推动党的政策和金融服务直达基层、直达群众。</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rPr>
      </w:pPr>
      <w:bookmarkStart w:id="11" w:name="heading_11"/>
      <w:r>
        <w:rPr>
          <w:rFonts w:hint="eastAsia" w:ascii="黑体" w:hAnsi="黑体" w:eastAsia="黑体" w:cs="黑体"/>
          <w:sz w:val="32"/>
          <w:szCs w:val="32"/>
        </w:rPr>
        <w:t>四、经济责任</w:t>
      </w:r>
      <w:bookmarkEnd w:id="11"/>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我行深刻把握金融工作的政治性、人民性，始终坚守支农支小初心，回归服务实体经济本源，紧扣金融“五篇大文章”要求，因地制宜出台多项信贷投放措施，加快小微企业、绿色、科技、消费贷款投放，深耕地方经济主战场，以金融力量助力地方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一是深化</w:t>
      </w:r>
      <w:r>
        <w:rPr>
          <w:rFonts w:hint="eastAsia" w:ascii="仿宋_GB2312" w:hAnsi="仿宋_GB2312" w:eastAsia="仿宋_GB2312" w:cs="仿宋_GB2312"/>
          <w:b/>
          <w:bCs/>
          <w:color w:val="auto"/>
          <w:sz w:val="32"/>
          <w:szCs w:val="32"/>
          <w:lang w:eastAsia="zh-CN"/>
        </w:rPr>
        <w:t>做小做散。</w:t>
      </w:r>
      <w:r>
        <w:rPr>
          <w:rFonts w:hint="eastAsia" w:ascii="仿宋_GB2312" w:hAnsi="仿宋_GB2312" w:eastAsia="仿宋_GB2312" w:cs="仿宋_GB2312"/>
          <w:b w:val="0"/>
          <w:bCs w:val="0"/>
          <w:color w:val="auto"/>
          <w:sz w:val="32"/>
          <w:szCs w:val="32"/>
          <w:lang w:val="en-US" w:eastAsia="zh-CN"/>
        </w:rPr>
        <w:t>始终以信贷投放为核心工作抓手，坚定践行 “做小做散”战略，攻坚个贷投放薄弱环节，精准对接普惠金融需求，全面提升服务实体经济质效。</w:t>
      </w:r>
      <w:r>
        <w:rPr>
          <w:rFonts w:hint="eastAsia" w:ascii="仿宋_GB2312" w:hAnsi="仿宋_GB2312" w:eastAsia="仿宋_GB2312" w:cs="仿宋_GB2312"/>
          <w:b w:val="0"/>
          <w:bCs w:val="0"/>
          <w:color w:val="auto"/>
          <w:sz w:val="32"/>
          <w:szCs w:val="32"/>
          <w:lang w:eastAsia="zh-CN"/>
        </w:rPr>
        <w:t>优化网格划分，建立分层级走访机制，将各类名单按优先级整理下发，并开展分层级联动走访；同步下发精准营销名单，组织支行、客户经理开</w:t>
      </w:r>
      <w:r>
        <w:rPr>
          <w:rFonts w:hint="eastAsia" w:ascii="仿宋_GB2312" w:hAnsi="仿宋_GB2312" w:eastAsia="仿宋_GB2312" w:cs="仿宋_GB2312"/>
          <w:sz w:val="32"/>
          <w:szCs w:val="32"/>
          <w:lang w:eastAsia="zh-CN"/>
        </w:rPr>
        <w:t>展重点、精准营销，并通过标准化营销管理、后督机制，保障走访效果。客户经理全年营销13.22万次，走访里程7.06万公里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面访4.8</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万次。同时，发挥</w:t>
      </w:r>
      <w:r>
        <w:rPr>
          <w:rFonts w:hint="eastAsia" w:ascii="仿宋_GB2312" w:hAnsi="仿宋_GB2312" w:eastAsia="仿宋_GB2312" w:cs="仿宋_GB2312"/>
          <w:b w:val="0"/>
          <w:bCs w:val="0"/>
          <w:color w:val="auto"/>
          <w:sz w:val="32"/>
          <w:szCs w:val="32"/>
          <w:lang w:eastAsia="zh-CN"/>
        </w:rPr>
        <w:t>普惠微贷中心作用，推动普惠金融网格化触达</w:t>
      </w:r>
      <w:r>
        <w:rPr>
          <w:rFonts w:hint="eastAsia" w:ascii="仿宋_GB2312" w:hAnsi="仿宋_GB2312" w:eastAsia="仿宋_GB2312" w:cs="仿宋_GB2312"/>
          <w:sz w:val="32"/>
          <w:szCs w:val="32"/>
        </w:rPr>
        <w:t>，充分</w:t>
      </w:r>
      <w:r>
        <w:rPr>
          <w:rFonts w:hint="eastAsia" w:ascii="仿宋_GB2312" w:hAnsi="仿宋_GB2312" w:eastAsia="仿宋_GB2312" w:cs="仿宋_GB2312"/>
          <w:sz w:val="32"/>
          <w:szCs w:val="32"/>
          <w:lang w:eastAsia="zh-CN"/>
        </w:rPr>
        <w:t>发挥</w:t>
      </w:r>
      <w:r>
        <w:rPr>
          <w:rFonts w:hint="eastAsia" w:ascii="仿宋_GB2312" w:hAnsi="仿宋_GB2312" w:eastAsia="仿宋_GB2312" w:cs="仿宋_GB2312"/>
          <w:sz w:val="32"/>
          <w:szCs w:val="32"/>
        </w:rPr>
        <w:t>支农支小</w:t>
      </w:r>
      <w:r>
        <w:rPr>
          <w:rFonts w:hint="eastAsia" w:ascii="仿宋_GB2312" w:hAnsi="仿宋_GB2312" w:eastAsia="仿宋_GB2312" w:cs="仿宋_GB2312"/>
          <w:sz w:val="32"/>
          <w:szCs w:val="32"/>
          <w:lang w:eastAsia="zh-CN"/>
        </w:rPr>
        <w:t>主力作用</w:t>
      </w:r>
      <w:r>
        <w:rPr>
          <w:rFonts w:hint="eastAsia" w:ascii="仿宋_GB2312" w:hAnsi="仿宋_GB2312" w:eastAsia="仿宋_GB2312" w:cs="仿宋_GB2312"/>
          <w:sz w:val="32"/>
          <w:szCs w:val="32"/>
        </w:rPr>
        <w:t>、助力实体经济发展。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二是</w:t>
      </w:r>
      <w:r>
        <w:rPr>
          <w:rFonts w:hint="eastAsia" w:ascii="仿宋_GB2312" w:hAnsi="仿宋_GB2312" w:eastAsia="仿宋_GB2312" w:cs="仿宋_GB2312"/>
          <w:b/>
          <w:bCs/>
          <w:sz w:val="32"/>
          <w:szCs w:val="32"/>
          <w:lang w:eastAsia="zh-CN"/>
        </w:rPr>
        <w:t>做强零售金融</w:t>
      </w:r>
      <w:r>
        <w:rPr>
          <w:rFonts w:hint="eastAsia" w:ascii="仿宋_GB2312" w:hAnsi="仿宋_GB2312" w:eastAsia="仿宋_GB2312" w:cs="仿宋_GB2312"/>
          <w:b/>
          <w:bCs/>
          <w:sz w:val="32"/>
          <w:szCs w:val="32"/>
        </w:rPr>
        <w:t>。</w:t>
      </w:r>
      <w:r>
        <w:rPr>
          <w:rFonts w:hint="eastAsia" w:ascii="仿宋_GB2312" w:hAnsi="仿宋_GB2312" w:eastAsia="仿宋_GB2312" w:cs="仿宋_GB2312"/>
          <w:color w:val="auto"/>
          <w:kern w:val="32"/>
          <w:sz w:val="32"/>
          <w:szCs w:val="32"/>
          <w:highlight w:val="none"/>
          <w:lang w:val="en-US" w:eastAsia="zh-CN" w:bidi="ar-SA"/>
        </w:rPr>
        <w:t>加强财富团队建设，首批13名财富经理成功展业，</w:t>
      </w:r>
      <w:r>
        <w:rPr>
          <w:rFonts w:hint="eastAsia" w:ascii="仿宋_GB2312" w:hAnsi="仿宋_GB2312" w:eastAsia="仿宋_GB2312" w:cs="仿宋_GB2312"/>
          <w:bCs/>
          <w:color w:val="auto"/>
          <w:kern w:val="32"/>
          <w:sz w:val="32"/>
          <w:szCs w:val="32"/>
          <w:highlight w:val="none"/>
        </w:rPr>
        <w:t>开展代销理财产品专属营销活动，拓展新客群体，促进客</w:t>
      </w:r>
      <w:r>
        <w:rPr>
          <w:rFonts w:hint="eastAsia" w:ascii="仿宋_GB2312" w:hAnsi="仿宋_GB2312" w:eastAsia="仿宋_GB2312" w:cs="仿宋_GB2312"/>
          <w:bCs/>
          <w:color w:val="auto"/>
          <w:kern w:val="32"/>
          <w:sz w:val="32"/>
          <w:szCs w:val="32"/>
          <w:highlight w:val="none"/>
          <w:lang w:eastAsia="zh-CN"/>
        </w:rPr>
        <w:t>群</w:t>
      </w:r>
      <w:r>
        <w:rPr>
          <w:rFonts w:hint="eastAsia" w:ascii="仿宋_GB2312" w:hAnsi="仿宋_GB2312" w:eastAsia="仿宋_GB2312" w:cs="仿宋_GB2312"/>
          <w:bCs/>
          <w:color w:val="auto"/>
          <w:kern w:val="32"/>
          <w:sz w:val="32"/>
          <w:szCs w:val="32"/>
          <w:highlight w:val="none"/>
        </w:rPr>
        <w:t>裂变。</w:t>
      </w:r>
      <w:r>
        <w:rPr>
          <w:rFonts w:hint="eastAsia" w:ascii="仿宋_GB2312" w:hAnsi="仿宋_GB2312" w:eastAsia="仿宋_GB2312" w:cs="仿宋_GB2312"/>
          <w:bCs/>
          <w:color w:val="auto"/>
          <w:kern w:val="32"/>
          <w:sz w:val="32"/>
          <w:szCs w:val="32"/>
          <w:highlight w:val="none"/>
          <w:lang w:eastAsia="zh-CN"/>
        </w:rPr>
        <w:t>财富</w:t>
      </w:r>
      <w:r>
        <w:rPr>
          <w:rFonts w:hint="eastAsia" w:ascii="仿宋_GB2312" w:hAnsi="仿宋_GB2312" w:eastAsia="仿宋_GB2312" w:cs="仿宋_GB2312"/>
          <w:color w:val="auto"/>
          <w:kern w:val="32"/>
          <w:sz w:val="32"/>
          <w:szCs w:val="32"/>
          <w:highlight w:val="none"/>
          <w:lang w:val="en-US" w:eastAsia="zh-CN" w:bidi="ar-SA"/>
        </w:rPr>
        <w:t>产品体系日益丰富，营销场景持续拓展，年末财富业务规模12.80亿元，同比增长</w:t>
      </w:r>
      <w:r>
        <w:rPr>
          <w:rFonts w:hint="eastAsia" w:ascii="仿宋_GB2312" w:hAnsi="仿宋_GB2312" w:eastAsia="仿宋_GB2312" w:cs="仿宋_GB2312"/>
          <w:b w:val="0"/>
          <w:bCs w:val="0"/>
          <w:color w:val="auto"/>
          <w:kern w:val="32"/>
          <w:sz w:val="32"/>
          <w:szCs w:val="32"/>
          <w:highlight w:val="none"/>
          <w:lang w:val="en-US" w:eastAsia="zh-CN"/>
        </w:rPr>
        <w:t>7.40亿元。充分</w:t>
      </w:r>
      <w:r>
        <w:rPr>
          <w:rFonts w:hint="eastAsia" w:ascii="仿宋_GB2312" w:hAnsi="仿宋_GB2312" w:eastAsia="仿宋_GB2312" w:cs="仿宋_GB2312"/>
          <w:sz w:val="32"/>
          <w:szCs w:val="32"/>
        </w:rPr>
        <w:t>满足城乡居民多样化财富管理需求。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三是提升</w:t>
      </w:r>
      <w:r>
        <w:rPr>
          <w:rFonts w:hint="eastAsia" w:ascii="仿宋_GB2312" w:hAnsi="仿宋_GB2312" w:eastAsia="仿宋_GB2312" w:cs="仿宋_GB2312"/>
          <w:b/>
          <w:bCs/>
          <w:sz w:val="32"/>
          <w:szCs w:val="32"/>
          <w:lang w:eastAsia="zh-CN"/>
        </w:rPr>
        <w:t>服务效能</w:t>
      </w:r>
      <w:r>
        <w:rPr>
          <w:rFonts w:hint="eastAsia" w:ascii="仿宋_GB2312" w:hAnsi="仿宋_GB2312" w:eastAsia="仿宋_GB2312" w:cs="仿宋_GB2312"/>
          <w:b/>
          <w:bCs/>
          <w:sz w:val="32"/>
          <w:szCs w:val="32"/>
        </w:rPr>
        <w:t>。</w:t>
      </w:r>
      <w:bookmarkStart w:id="12" w:name="heading_12"/>
      <w:r>
        <w:rPr>
          <w:rFonts w:hint="eastAsia" w:ascii="仿宋_GB2312" w:hAnsi="仿宋_GB2312" w:eastAsia="仿宋_GB2312" w:cs="仿宋_GB2312"/>
          <w:color w:val="auto"/>
          <w:sz w:val="32"/>
          <w:szCs w:val="32"/>
          <w:lang w:eastAsia="zh-CN"/>
        </w:rPr>
        <w:t>充分发挥移动展业平台作用，提升客户经理展业能效，满足了客户多元化、差异化、个性化的信贷需求。</w:t>
      </w:r>
      <w:r>
        <w:rPr>
          <w:rFonts w:hint="eastAsia" w:ascii="仿宋_GB2312" w:hAnsi="宋体" w:eastAsia="仿宋_GB2312" w:cs="宋体"/>
          <w:color w:val="auto"/>
          <w:sz w:val="32"/>
          <w:szCs w:val="32"/>
          <w:lang w:eastAsia="zh-CN"/>
        </w:rPr>
        <w:t>移动</w:t>
      </w:r>
      <w:r>
        <w:rPr>
          <w:rFonts w:hint="eastAsia" w:ascii="仿宋_GB2312" w:hAnsi="宋体" w:eastAsia="仿宋_GB2312" w:cs="宋体"/>
          <w:color w:val="auto"/>
          <w:sz w:val="32"/>
          <w:szCs w:val="32"/>
        </w:rPr>
        <w:t>展业平台智能续期</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rPr>
        <w:t>自动贷后，客户无感转贷，形成信贷闭环，转贷业务耗时缩减20%</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rPr>
        <w:t>减少转贷手续时间至少1天，减少客户往返网点频率，提升了客户转贷体验。</w:t>
      </w:r>
      <w:r>
        <w:rPr>
          <w:rFonts w:hint="eastAsia" w:ascii="仿宋_GB2312" w:hAnsi="仿宋_GB2312" w:eastAsia="仿宋_GB2312" w:cs="仿宋_GB2312"/>
          <w:color w:val="auto"/>
          <w:sz w:val="32"/>
          <w:szCs w:val="32"/>
        </w:rPr>
        <w:t>同时，建立“远程视频核验”机制，实现“四眼原则”，验证客户的真实性与借款意愿，有效防范</w:t>
      </w:r>
      <w:r>
        <w:rPr>
          <w:rFonts w:hint="eastAsia" w:ascii="仿宋_GB2312" w:hAnsi="仿宋_GB2312" w:eastAsia="仿宋_GB2312" w:cs="仿宋_GB2312"/>
          <w:color w:val="auto"/>
          <w:sz w:val="32"/>
          <w:szCs w:val="32"/>
          <w:lang w:eastAsia="zh-CN"/>
        </w:rPr>
        <w:t>操作风险</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五、社会责任</w:t>
      </w:r>
      <w:bookmarkEnd w:id="12"/>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始终秉承</w:t>
      </w:r>
      <w:r>
        <w:rPr>
          <w:rFonts w:hint="eastAsia" w:ascii="仿宋_GB2312" w:hAnsi="仿宋_GB2312" w:eastAsia="仿宋_GB2312" w:cs="仿宋_GB2312"/>
          <w:sz w:val="32"/>
          <w:szCs w:val="32"/>
          <w:lang w:eastAsia="zh-CN"/>
        </w:rPr>
        <w:t>慈善立行理念</w:t>
      </w:r>
      <w:r>
        <w:rPr>
          <w:rFonts w:hint="eastAsia" w:ascii="仿宋_GB2312" w:hAnsi="仿宋_GB2312" w:eastAsia="仿宋_GB2312" w:cs="仿宋_GB2312"/>
          <w:sz w:val="32"/>
          <w:szCs w:val="32"/>
        </w:rPr>
        <w:t>，大力践行社会责任观，持续支持社会公益与慈善事业，以实际行动积极回报社会，传递金融温度。持续深化“为爱储蓄、幸福共助”活动，</w:t>
      </w:r>
      <w:r>
        <w:rPr>
          <w:rFonts w:hint="eastAsia" w:ascii="仿宋_GB2312" w:hAnsi="仿宋_GB2312" w:eastAsia="仿宋_GB2312" w:cs="仿宋_GB2312"/>
          <w:sz w:val="32"/>
          <w:szCs w:val="32"/>
          <w:lang w:eastAsia="zh-CN"/>
        </w:rPr>
        <w:t>向海门慈善基金会捐赠</w:t>
      </w:r>
      <w:r>
        <w:rPr>
          <w:rFonts w:hint="eastAsia" w:ascii="仿宋_GB2312" w:hAnsi="仿宋_GB2312" w:eastAsia="仿宋_GB2312" w:cs="仿宋_GB2312"/>
          <w:sz w:val="32"/>
          <w:szCs w:val="32"/>
          <w:lang w:val="en-US" w:eastAsia="zh-CN"/>
        </w:rPr>
        <w:t>50万元</w:t>
      </w:r>
      <w:r>
        <w:rPr>
          <w:rFonts w:hint="eastAsia" w:ascii="仿宋_GB2312" w:hAnsi="仿宋_GB2312" w:eastAsia="仿宋_GB2312" w:cs="仿宋_GB2312"/>
          <w:sz w:val="32"/>
          <w:szCs w:val="32"/>
        </w:rPr>
        <w:t>，12年来各项现金捐赠累计达1200万元，为海门社会公益事业发展贡献力量。持续开展“同心圆·东洲追梦”计划、“滴水·筑梦”等爱心助学项目，拿出</w:t>
      </w:r>
      <w:r>
        <w:rPr>
          <w:rFonts w:hint="eastAsia" w:ascii="仿宋_GB2312" w:hAnsi="仿宋_GB2312" w:eastAsia="仿宋_GB2312" w:cs="仿宋_GB2312"/>
          <w:sz w:val="32"/>
          <w:szCs w:val="32"/>
          <w:lang w:eastAsia="zh-CN"/>
        </w:rPr>
        <w:t>真金白银帮助</w:t>
      </w:r>
      <w:r>
        <w:rPr>
          <w:rFonts w:hint="eastAsia" w:ascii="仿宋_GB2312" w:hAnsi="仿宋_GB2312" w:eastAsia="仿宋_GB2312" w:cs="仿宋_GB2312"/>
          <w:sz w:val="32"/>
          <w:szCs w:val="32"/>
        </w:rPr>
        <w:t>教育系统贫困学生，支持贫困学子追梦圆梦。常态化组织开展公益献血、学雷锋志愿者活动，2025年11月29日，组织120名员工参与无偿献血活动，献血累计超过</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万毫升，用殷红热血传递金融温暖；经常性慰问关怀困难职工、孤寡老人等群体，用实际行动践行公益初心，提升企业品牌形象，与社会共享发展成果。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rPr>
      </w:pPr>
      <w:bookmarkStart w:id="13" w:name="heading_17"/>
      <w:r>
        <w:rPr>
          <w:rFonts w:hint="eastAsia" w:ascii="黑体" w:hAnsi="黑体" w:eastAsia="黑体" w:cs="黑体"/>
          <w:sz w:val="32"/>
          <w:szCs w:val="32"/>
        </w:rPr>
        <w:t>六、2026年展望</w:t>
      </w:r>
      <w:bookmarkEnd w:id="13"/>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i w:val="0"/>
          <w:iCs w:val="0"/>
          <w:caps w:val="0"/>
          <w:color w:val="000000" w:themeColor="text1"/>
          <w:spacing w:val="0"/>
          <w:kern w:val="32"/>
          <w:sz w:val="32"/>
          <w:szCs w:val="32"/>
          <w:shd w:val="clear" w:fill="FFFFFF"/>
          <w:lang w:eastAsia="zh-CN"/>
        </w:rPr>
      </w:pPr>
      <w:r>
        <w:rPr>
          <w:rFonts w:hint="eastAsia" w:ascii="仿宋_GB2312" w:hAnsi="仿宋_GB2312" w:eastAsia="仿宋_GB2312" w:cs="仿宋_GB2312"/>
          <w:i w:val="0"/>
          <w:iCs w:val="0"/>
          <w:caps w:val="0"/>
          <w:color w:val="000000" w:themeColor="text1"/>
          <w:spacing w:val="0"/>
          <w:kern w:val="32"/>
          <w:sz w:val="32"/>
          <w:szCs w:val="32"/>
          <w:shd w:val="clear" w:fill="FFFFFF"/>
        </w:rPr>
        <w:t>2026年是“十五五”开局之年，也是</w:t>
      </w:r>
      <w:r>
        <w:rPr>
          <w:rFonts w:hint="eastAsia" w:ascii="仿宋_GB2312" w:hAnsi="仿宋_GB2312" w:eastAsia="仿宋_GB2312" w:cs="仿宋_GB2312"/>
          <w:i w:val="0"/>
          <w:iCs w:val="0"/>
          <w:caps w:val="0"/>
          <w:color w:val="000000" w:themeColor="text1"/>
          <w:spacing w:val="0"/>
          <w:kern w:val="32"/>
          <w:sz w:val="32"/>
          <w:szCs w:val="32"/>
          <w:shd w:val="clear" w:fill="FFFFFF"/>
          <w:lang w:eastAsia="zh-CN"/>
        </w:rPr>
        <w:t>海门农商银行</w:t>
      </w:r>
      <w:r>
        <w:rPr>
          <w:rFonts w:hint="eastAsia" w:ascii="仿宋_GB2312" w:hAnsi="仿宋_GB2312" w:eastAsia="仿宋_GB2312" w:cs="仿宋_GB2312"/>
          <w:i w:val="0"/>
          <w:iCs w:val="0"/>
          <w:caps w:val="0"/>
          <w:color w:val="000000" w:themeColor="text1"/>
          <w:spacing w:val="0"/>
          <w:kern w:val="32"/>
          <w:sz w:val="32"/>
          <w:szCs w:val="32"/>
          <w:shd w:val="clear" w:fill="FFFFFF"/>
        </w:rPr>
        <w:t>深化改革、提质增效的关键一年</w:t>
      </w:r>
      <w:r>
        <w:rPr>
          <w:rFonts w:hint="eastAsia" w:ascii="仿宋_GB2312" w:hAnsi="仿宋_GB2312" w:eastAsia="仿宋_GB2312" w:cs="仿宋_GB2312"/>
          <w:sz w:val="32"/>
          <w:szCs w:val="32"/>
        </w:rPr>
        <w:t>。我行将坚持以习近平新时代中国特色社会主义思想为指引，</w:t>
      </w:r>
      <w:r>
        <w:rPr>
          <w:rFonts w:hint="eastAsia" w:ascii="仿宋_GB2312" w:hAnsi="仿宋_GB2312" w:eastAsia="仿宋_GB2312" w:cs="仿宋_GB2312"/>
          <w:sz w:val="32"/>
          <w:szCs w:val="32"/>
          <w:lang w:eastAsia="zh-CN"/>
        </w:rPr>
        <w:t>深入贯彻</w:t>
      </w:r>
      <w:r>
        <w:rPr>
          <w:rFonts w:hint="eastAsia" w:ascii="仿宋_GB2312" w:hAnsi="仿宋_GB2312" w:eastAsia="仿宋_GB2312" w:cs="仿宋_GB2312"/>
          <w:i w:val="0"/>
          <w:iCs w:val="0"/>
          <w:caps w:val="0"/>
          <w:color w:val="000000" w:themeColor="text1"/>
          <w:spacing w:val="0"/>
          <w:kern w:val="32"/>
          <w:sz w:val="32"/>
          <w:szCs w:val="32"/>
          <w:shd w:val="clear" w:fill="FFFFFF"/>
        </w:rPr>
        <w:t>党的二十大和二十届历次全会精神，认真落实</w:t>
      </w:r>
      <w:r>
        <w:rPr>
          <w:rFonts w:hint="eastAsia" w:ascii="仿宋_GB2312" w:hAnsi="仿宋_GB2312" w:eastAsia="仿宋_GB2312" w:cs="仿宋_GB2312"/>
          <w:i w:val="0"/>
          <w:iCs w:val="0"/>
          <w:caps w:val="0"/>
          <w:color w:val="000000" w:themeColor="text1"/>
          <w:spacing w:val="0"/>
          <w:kern w:val="32"/>
          <w:sz w:val="32"/>
          <w:szCs w:val="32"/>
          <w:shd w:val="clear" w:fill="FFFFFF"/>
          <w:lang w:eastAsia="zh-CN"/>
        </w:rPr>
        <w:t>江苏农商联合银行</w:t>
      </w:r>
      <w:r>
        <w:rPr>
          <w:rFonts w:hint="eastAsia" w:ascii="仿宋_GB2312" w:hAnsi="仿宋_GB2312" w:eastAsia="仿宋_GB2312" w:cs="仿宋_GB2312"/>
          <w:i w:val="0"/>
          <w:iCs w:val="0"/>
          <w:caps w:val="0"/>
          <w:color w:val="000000" w:themeColor="text1"/>
          <w:spacing w:val="0"/>
          <w:kern w:val="32"/>
          <w:sz w:val="32"/>
          <w:szCs w:val="32"/>
          <w:shd w:val="clear" w:fill="FFFFFF"/>
        </w:rPr>
        <w:t>工作要求，坚持稳中求进工作总基调，坚持人民至上，坚持高质量发展，坚持</w:t>
      </w:r>
      <w:r>
        <w:rPr>
          <w:rFonts w:hint="eastAsia" w:ascii="仿宋_GB2312" w:hAnsi="仿宋_GB2312" w:eastAsia="仿宋_GB2312" w:cs="仿宋_GB2312"/>
          <w:i w:val="0"/>
          <w:iCs w:val="0"/>
          <w:caps w:val="0"/>
          <w:color w:val="000000" w:themeColor="text1"/>
          <w:spacing w:val="0"/>
          <w:kern w:val="32"/>
          <w:sz w:val="32"/>
          <w:szCs w:val="32"/>
          <w:shd w:val="clear" w:fill="FFFFFF"/>
          <w:lang w:eastAsia="zh-CN"/>
        </w:rPr>
        <w:t>全面</w:t>
      </w:r>
      <w:r>
        <w:rPr>
          <w:rFonts w:hint="eastAsia" w:ascii="仿宋_GB2312" w:hAnsi="仿宋_GB2312" w:eastAsia="仿宋_GB2312" w:cs="仿宋_GB2312"/>
          <w:i w:val="0"/>
          <w:iCs w:val="0"/>
          <w:caps w:val="0"/>
          <w:color w:val="000000" w:themeColor="text1"/>
          <w:spacing w:val="0"/>
          <w:kern w:val="32"/>
          <w:sz w:val="32"/>
          <w:szCs w:val="32"/>
          <w:shd w:val="clear" w:fill="FFFFFF"/>
        </w:rPr>
        <w:t>深化改革，坚持统筹发展和安全，努力推动经营发展</w:t>
      </w:r>
      <w:r>
        <w:rPr>
          <w:rFonts w:hint="eastAsia" w:ascii="仿宋_GB2312" w:hAnsi="仿宋_GB2312" w:eastAsia="仿宋_GB2312" w:cs="仿宋_GB2312"/>
          <w:i w:val="0"/>
          <w:iCs w:val="0"/>
          <w:caps w:val="0"/>
          <w:color w:val="000000" w:themeColor="text1"/>
          <w:spacing w:val="0"/>
          <w:kern w:val="32"/>
          <w:sz w:val="32"/>
          <w:szCs w:val="32"/>
          <w:shd w:val="clear" w:fill="FFFFFF"/>
          <w:lang w:eastAsia="zh-CN"/>
        </w:rPr>
        <w:t>向更高层面迈进</w:t>
      </w:r>
      <w:r>
        <w:rPr>
          <w:rFonts w:hint="eastAsia" w:ascii="仿宋_GB2312" w:hAnsi="仿宋_GB2312" w:eastAsia="仿宋_GB2312" w:cs="仿宋_GB2312"/>
          <w:i w:val="0"/>
          <w:iCs w:val="0"/>
          <w:caps w:val="0"/>
          <w:color w:val="000000" w:themeColor="text1"/>
          <w:spacing w:val="0"/>
          <w:kern w:val="32"/>
          <w:sz w:val="32"/>
          <w:szCs w:val="32"/>
          <w:shd w:val="clear" w:fill="FFFFFF"/>
        </w:rPr>
        <w:t>，</w:t>
      </w:r>
      <w:r>
        <w:rPr>
          <w:rFonts w:hint="eastAsia" w:ascii="仿宋_GB2312" w:hAnsi="仿宋_GB2312" w:eastAsia="仿宋_GB2312" w:cs="仿宋_GB2312"/>
          <w:i w:val="0"/>
          <w:iCs w:val="0"/>
          <w:caps w:val="0"/>
          <w:color w:val="000000" w:themeColor="text1"/>
          <w:spacing w:val="0"/>
          <w:kern w:val="32"/>
          <w:sz w:val="32"/>
          <w:szCs w:val="32"/>
          <w:shd w:val="clear" w:fill="FFFFFF"/>
          <w:lang w:eastAsia="zh-CN"/>
        </w:rPr>
        <w:t>当好区域金融机构发展的标杆榜样。</w:t>
      </w:r>
    </w:p>
    <w:p>
      <w:pPr>
        <w:keepNext w:val="0"/>
        <w:keepLines w:val="0"/>
        <w:pageBreakBefore w:val="0"/>
        <w:widowControl w:val="0"/>
        <w:pBdr>
          <w:top w:val="none" w:color="000000" w:sz="0" w:space="0"/>
          <w:left w:val="none" w:color="000000" w:sz="0" w:space="0"/>
          <w:bottom w:val="none" w:color="000000" w:sz="0" w:space="31"/>
          <w:right w:val="none" w:color="000000" w:sz="0" w:space="19"/>
        </w:pBdr>
        <w:kinsoku/>
        <w:wordWrap/>
        <w:overflowPunct/>
        <w:topLinePunct w:val="0"/>
        <w:autoSpaceDE/>
        <w:autoSpaceDN/>
        <w:bidi w:val="0"/>
        <w:adjustRightInd/>
        <w:snapToGrid/>
        <w:spacing w:line="520" w:lineRule="exact"/>
        <w:ind w:firstLine="643" w:firstLineChars="200"/>
        <w:contextualSpacing/>
        <w:textAlignment w:val="auto"/>
        <w:rPr>
          <w:rFonts w:hint="eastAsia" w:ascii="仿宋_GB2312" w:hAnsi="仿宋_GB2312" w:eastAsia="仿宋_GB2312" w:cs="仿宋_GB2312"/>
          <w:color w:val="0C0C0C" w:themeColor="text1" w:themeTint="F2"/>
          <w:spacing w:val="0"/>
          <w:kern w:val="32"/>
          <w:sz w:val="32"/>
          <w:szCs w:val="32"/>
          <w:lang w:val="en-US" w:eastAsia="zh-CN" w:bidi="ar-SA"/>
        </w:rPr>
      </w:pPr>
      <w:r>
        <w:rPr>
          <w:rFonts w:hint="eastAsia" w:ascii="仿宋_GB2312" w:hAnsi="仿宋_GB2312" w:eastAsia="仿宋_GB2312" w:cs="仿宋_GB2312"/>
          <w:b/>
          <w:bCs w:val="0"/>
          <w:color w:val="0C0C0C" w:themeColor="text1" w:themeTint="F2"/>
          <w:kern w:val="32"/>
          <w:sz w:val="32"/>
          <w:szCs w:val="32"/>
          <w:highlight w:val="none"/>
          <w:lang w:val="en-US" w:eastAsia="zh-CN"/>
        </w:rPr>
        <w:t>1.强化战略导向，牢固经营发展。</w:t>
      </w:r>
      <w:r>
        <w:rPr>
          <w:rFonts w:hint="eastAsia" w:ascii="仿宋_GB2312" w:hAnsi="仿宋_GB2312" w:eastAsia="仿宋_GB2312" w:cs="仿宋_GB2312"/>
          <w:bCs/>
          <w:color w:val="0C0C0C" w:themeColor="text1" w:themeTint="F2"/>
          <w:kern w:val="32"/>
          <w:sz w:val="32"/>
          <w:szCs w:val="32"/>
          <w:highlight w:val="none"/>
          <w:lang w:val="en-US" w:eastAsia="zh-CN"/>
        </w:rPr>
        <w:t>涵养“功成不必在我”的精神境界、“功成必定有我”的责任担当，</w:t>
      </w:r>
      <w:r>
        <w:rPr>
          <w:rFonts w:hint="eastAsia" w:ascii="仿宋_GB2312" w:hAnsi="仿宋_GB2312" w:eastAsia="仿宋_GB2312" w:cs="仿宋_GB2312"/>
          <w:bCs/>
          <w:color w:val="0C0C0C" w:themeColor="text1" w:themeTint="F2"/>
          <w:kern w:val="32"/>
          <w:sz w:val="32"/>
          <w:szCs w:val="32"/>
          <w:highlight w:val="none"/>
        </w:rPr>
        <w:t>保持战略定力、增强必胜信心，</w:t>
      </w:r>
      <w:r>
        <w:rPr>
          <w:rFonts w:hint="eastAsia" w:ascii="仿宋_GB2312" w:hAnsi="仿宋_GB2312" w:eastAsia="仿宋_GB2312" w:cs="仿宋_GB2312"/>
          <w:bCs/>
          <w:color w:val="0C0C0C" w:themeColor="text1" w:themeTint="F2"/>
          <w:kern w:val="32"/>
          <w:sz w:val="32"/>
          <w:szCs w:val="32"/>
          <w:highlight w:val="none"/>
          <w:lang w:val="en-US" w:eastAsia="zh-CN"/>
        </w:rPr>
        <w:t>努力推动经营发展实现质的有效提升和量的合理增长，实现更高质量发展。</w:t>
      </w:r>
      <w:r>
        <w:rPr>
          <w:rFonts w:hint="eastAsia" w:ascii="仿宋_GB2312" w:hAnsi="仿宋_GB2312" w:eastAsia="仿宋_GB2312" w:cs="仿宋_GB2312"/>
          <w:b/>
          <w:bCs/>
          <w:color w:val="0C0C0C" w:themeColor="text1" w:themeTint="F2"/>
          <w:spacing w:val="0"/>
          <w:kern w:val="32"/>
          <w:position w:val="0"/>
          <w:sz w:val="32"/>
          <w:szCs w:val="32"/>
          <w:lang w:val="en-US" w:eastAsia="zh-CN" w:bidi="ar-SA"/>
        </w:rPr>
        <w:t>加强网格深耕。</w:t>
      </w:r>
      <w:r>
        <w:rPr>
          <w:rFonts w:hint="eastAsia" w:ascii="仿宋_GB2312" w:hAnsi="仿宋_GB2312" w:eastAsia="仿宋_GB2312" w:cs="仿宋_GB2312"/>
          <w:b w:val="0"/>
          <w:color w:val="0C0C0C" w:themeColor="text1" w:themeTint="F2"/>
          <w:spacing w:val="0"/>
          <w:kern w:val="32"/>
          <w:position w:val="0"/>
          <w:sz w:val="32"/>
          <w:szCs w:val="32"/>
          <w:lang w:val="en-US" w:eastAsia="zh-CN" w:bidi="ar-SA"/>
        </w:rPr>
        <w:t>将网格深耕作为一项关乎生存和发展的基础性工程，学习他行</w:t>
      </w:r>
      <w:r>
        <w:rPr>
          <w:rFonts w:hint="eastAsia" w:ascii="仿宋_GB2312" w:hAnsi="仿宋_GB2312" w:eastAsia="仿宋_GB2312" w:cs="仿宋_GB2312"/>
          <w:color w:val="0C0C0C" w:themeColor="text1" w:themeTint="F2"/>
          <w:kern w:val="32"/>
          <w:sz w:val="32"/>
          <w:szCs w:val="32"/>
          <w:highlight w:val="none"/>
          <w:lang w:val="en-US" w:eastAsia="zh-CN"/>
        </w:rPr>
        <w:t>网格化营销经验，</w:t>
      </w:r>
      <w:r>
        <w:rPr>
          <w:rFonts w:hint="eastAsia" w:ascii="仿宋_GB2312" w:hAnsi="仿宋_GB2312" w:eastAsia="仿宋_GB2312" w:cs="仿宋_GB2312"/>
          <w:b w:val="0"/>
          <w:color w:val="0C0C0C" w:themeColor="text1" w:themeTint="F2"/>
          <w:spacing w:val="0"/>
          <w:kern w:val="32"/>
          <w:position w:val="0"/>
          <w:sz w:val="32"/>
          <w:szCs w:val="32"/>
          <w:lang w:val="en-US" w:eastAsia="zh-CN" w:bidi="ar-SA"/>
        </w:rPr>
        <w:t>构建适合我行的组织架构、实施路径、平台载体和标准体系，有效落实网格责任、发现网格客群、定制网格产品、增强网格粘性，提升网格效能。</w:t>
      </w:r>
      <w:r>
        <w:rPr>
          <w:rFonts w:hint="eastAsia" w:ascii="仿宋_GB2312" w:hAnsi="仿宋_GB2312" w:eastAsia="仿宋_GB2312" w:cs="仿宋_GB2312"/>
          <w:b/>
          <w:bCs/>
          <w:color w:val="0C0C0C" w:themeColor="text1" w:themeTint="F2"/>
          <w:spacing w:val="0"/>
          <w:kern w:val="32"/>
          <w:position w:val="0"/>
          <w:sz w:val="32"/>
          <w:szCs w:val="32"/>
          <w:lang w:val="en-US" w:eastAsia="zh-CN" w:bidi="ar-SA"/>
        </w:rPr>
        <w:t>加强队伍建设。</w:t>
      </w:r>
      <w:r>
        <w:rPr>
          <w:rFonts w:hint="eastAsia" w:ascii="仿宋_GB2312" w:hAnsi="仿宋_GB2312" w:eastAsia="仿宋_GB2312" w:cs="仿宋_GB2312"/>
          <w:color w:val="0C0C0C" w:themeColor="text1" w:themeTint="F2"/>
          <w:spacing w:val="0"/>
          <w:kern w:val="32"/>
          <w:sz w:val="32"/>
          <w:szCs w:val="32"/>
          <w:lang w:val="en-US" w:eastAsia="zh-CN" w:bidi="ar-SA"/>
        </w:rPr>
        <w:t>坚持正确选人用人导向，树牢正确经营观、业绩观和风险观，营造重实干、重实绩、重担当浓厚氛围。完善“阳光赛马”机制，正确处理培养选拔年轻干部和用好其他年龄段干部的关系，为想干事、能干事、干成事的员工搭建舞台。制定实施各岗位条线后备干部培养锻炼计划，注重基层导向和实践磨炼，开展多岗位、多层次、全覆盖、常态化的员工轮训，提升员工综合素质水平。</w:t>
      </w:r>
      <w:r>
        <w:rPr>
          <w:rFonts w:hint="eastAsia" w:ascii="仿宋_GB2312" w:hAnsi="仿宋_GB2312" w:eastAsia="仿宋_GB2312" w:cs="仿宋_GB2312"/>
          <w:b/>
          <w:bCs/>
          <w:color w:val="0C0C0C" w:themeColor="text1" w:themeTint="F2"/>
          <w:spacing w:val="0"/>
          <w:kern w:val="32"/>
          <w:position w:val="0"/>
          <w:sz w:val="32"/>
          <w:szCs w:val="32"/>
          <w:lang w:val="en-US" w:eastAsia="zh-CN" w:bidi="ar-SA"/>
        </w:rPr>
        <w:t>加强合规案防。</w:t>
      </w:r>
      <w:r>
        <w:rPr>
          <w:rFonts w:hint="eastAsia" w:ascii="仿宋_GB2312" w:hAnsi="仿宋_GB2312" w:eastAsia="仿宋_GB2312" w:cs="仿宋_GB2312"/>
          <w:color w:val="0C0C0C" w:themeColor="text1" w:themeTint="F2"/>
          <w:spacing w:val="0"/>
          <w:kern w:val="32"/>
          <w:sz w:val="32"/>
          <w:szCs w:val="32"/>
          <w:lang w:val="en-US" w:eastAsia="zh-CN" w:bidi="ar-SA"/>
        </w:rPr>
        <w:t>从贷前、贷中、贷后等全流程加强风险前置管理；加大考核、解放思想、强化担当，确保不良清收金额大于新发生金额。深化合规银行建设，把打造合规文化列为年度重点工作，进一步完善工作机制，形成高管带头、全员践行的合规氛围，推动全行合规管理水平明显提高。</w:t>
      </w:r>
    </w:p>
    <w:p>
      <w:pPr>
        <w:keepNext w:val="0"/>
        <w:keepLines w:val="0"/>
        <w:pageBreakBefore w:val="0"/>
        <w:widowControl w:val="0"/>
        <w:pBdr>
          <w:top w:val="none" w:color="000000" w:sz="0" w:space="0"/>
          <w:left w:val="none" w:color="000000" w:sz="0" w:space="0"/>
          <w:bottom w:val="none" w:color="000000" w:sz="0" w:space="31"/>
          <w:right w:val="none" w:color="000000" w:sz="0" w:space="19"/>
        </w:pBdr>
        <w:kinsoku/>
        <w:wordWrap/>
        <w:overflowPunct/>
        <w:topLinePunct w:val="0"/>
        <w:autoSpaceDE/>
        <w:autoSpaceDN/>
        <w:bidi w:val="0"/>
        <w:adjustRightInd/>
        <w:snapToGrid/>
        <w:spacing w:line="520" w:lineRule="exact"/>
        <w:ind w:firstLine="643" w:firstLineChars="200"/>
        <w:contextualSpacing/>
        <w:textAlignment w:val="auto"/>
        <w:rPr>
          <w:rFonts w:hint="eastAsia" w:ascii="仿宋_GB2312" w:hAnsi="仿宋_GB2312" w:eastAsia="仿宋_GB2312" w:cs="仿宋_GB2312"/>
          <w:color w:val="0C0C0C" w:themeColor="text1" w:themeTint="F2"/>
          <w:spacing w:val="0"/>
          <w:kern w:val="32"/>
          <w:sz w:val="32"/>
          <w:szCs w:val="32"/>
          <w:lang w:val="en-US" w:eastAsia="zh-CN" w:bidi="ar-SA"/>
        </w:rPr>
      </w:pPr>
      <w:r>
        <w:rPr>
          <w:rFonts w:hint="eastAsia" w:ascii="仿宋_GB2312" w:hAnsi="仿宋_GB2312" w:eastAsia="仿宋_GB2312" w:cs="仿宋_GB2312"/>
          <w:b/>
          <w:bCs/>
          <w:color w:val="auto"/>
          <w:spacing w:val="0"/>
          <w:kern w:val="32"/>
          <w:sz w:val="32"/>
          <w:szCs w:val="32"/>
          <w:lang w:val="en-US" w:eastAsia="zh-CN" w:bidi="ar-SA"/>
        </w:rPr>
        <w:t>2.强化</w:t>
      </w:r>
      <w:r>
        <w:rPr>
          <w:rStyle w:val="6"/>
          <w:rFonts w:hint="eastAsia" w:ascii="仿宋_GB2312" w:hAnsi="仿宋_GB2312" w:eastAsia="仿宋_GB2312" w:cs="仿宋_GB2312"/>
          <w:b/>
          <w:bCs/>
          <w:color w:val="auto"/>
          <w:sz w:val="32"/>
          <w:szCs w:val="32"/>
        </w:rPr>
        <w:t>支农支小，</w:t>
      </w:r>
      <w:r>
        <w:rPr>
          <w:rStyle w:val="6"/>
          <w:rFonts w:hint="eastAsia" w:ascii="仿宋_GB2312" w:hAnsi="仿宋_GB2312" w:eastAsia="仿宋_GB2312" w:cs="仿宋_GB2312"/>
          <w:b/>
          <w:bCs/>
          <w:color w:val="auto"/>
          <w:sz w:val="32"/>
          <w:szCs w:val="32"/>
          <w:lang w:eastAsia="zh-CN"/>
        </w:rPr>
        <w:t>做</w:t>
      </w:r>
      <w:r>
        <w:rPr>
          <w:rStyle w:val="6"/>
          <w:rFonts w:hint="eastAsia" w:ascii="仿宋_GB2312" w:hAnsi="仿宋_GB2312" w:eastAsia="仿宋_GB2312" w:cs="仿宋_GB2312"/>
          <w:b/>
          <w:bCs/>
          <w:color w:val="auto"/>
          <w:sz w:val="32"/>
          <w:szCs w:val="32"/>
        </w:rPr>
        <w:t>实金融为民。</w:t>
      </w:r>
      <w:r>
        <w:rPr>
          <w:rFonts w:hint="eastAsia" w:ascii="仿宋_GB2312" w:hAnsi="仿宋_GB2312" w:eastAsia="仿宋_GB2312" w:cs="仿宋_GB2312"/>
          <w:color w:val="auto"/>
          <w:sz w:val="32"/>
          <w:szCs w:val="32"/>
        </w:rPr>
        <w:t>始终坚守支农支小初心，回归服务实体经济本源，在深耕金融为民沃土中厚植优势、拓宽前路。</w:t>
      </w:r>
      <w:r>
        <w:rPr>
          <w:rStyle w:val="6"/>
          <w:rFonts w:hint="eastAsia" w:ascii="仿宋_GB2312" w:hAnsi="仿宋_GB2312" w:eastAsia="仿宋_GB2312" w:cs="仿宋_GB2312"/>
          <w:bCs/>
          <w:color w:val="auto"/>
          <w:sz w:val="32"/>
          <w:szCs w:val="32"/>
          <w:lang w:eastAsia="zh-CN"/>
        </w:rPr>
        <w:t>压实</w:t>
      </w:r>
      <w:r>
        <w:rPr>
          <w:rStyle w:val="6"/>
          <w:rFonts w:hint="eastAsia" w:ascii="仿宋_GB2312" w:hAnsi="仿宋_GB2312" w:eastAsia="仿宋_GB2312" w:cs="仿宋_GB2312"/>
          <w:bCs/>
          <w:color w:val="auto"/>
          <w:sz w:val="32"/>
          <w:szCs w:val="32"/>
        </w:rPr>
        <w:t>金融供给。</w:t>
      </w:r>
      <w:r>
        <w:rPr>
          <w:rFonts w:hint="eastAsia" w:ascii="仿宋_GB2312" w:hAnsi="仿宋_GB2312" w:eastAsia="仿宋_GB2312" w:cs="仿宋_GB2312"/>
          <w:color w:val="auto"/>
          <w:sz w:val="32"/>
          <w:szCs w:val="32"/>
        </w:rPr>
        <w:t>把“政治性、人民性”刻进信贷基因，紧扣总行“服务地方、服务实体”定位，迭代升级“五篇大文章”，用真金白银助力地方绿色发展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把政治担当、人民情怀转化为支持地方</w:t>
      </w:r>
      <w:r>
        <w:rPr>
          <w:rFonts w:hint="eastAsia" w:ascii="仿宋_GB2312" w:hAnsi="仿宋_GB2312" w:eastAsia="仿宋_GB2312" w:cs="仿宋_GB2312"/>
          <w:color w:val="auto"/>
          <w:sz w:val="32"/>
          <w:szCs w:val="32"/>
          <w:lang w:eastAsia="zh-CN"/>
        </w:rPr>
        <w:t>高质量</w:t>
      </w:r>
      <w:r>
        <w:rPr>
          <w:rFonts w:hint="eastAsia" w:ascii="仿宋_GB2312" w:hAnsi="仿宋_GB2312" w:eastAsia="仿宋_GB2312" w:cs="仿宋_GB2312"/>
          <w:color w:val="auto"/>
          <w:sz w:val="32"/>
          <w:szCs w:val="32"/>
        </w:rPr>
        <w:t>发展的澎湃动能。</w:t>
      </w:r>
      <w:r>
        <w:rPr>
          <w:rFonts w:hint="eastAsia" w:ascii="仿宋_GB2312" w:hAnsi="仿宋_GB2312" w:eastAsia="仿宋_GB2312" w:cs="仿宋_GB2312"/>
          <w:b/>
          <w:bCs/>
          <w:color w:val="auto"/>
          <w:sz w:val="32"/>
          <w:szCs w:val="32"/>
          <w:lang w:eastAsia="zh-CN"/>
        </w:rPr>
        <w:t>延伸信贷服务</w:t>
      </w:r>
      <w:r>
        <w:rPr>
          <w:rStyle w:val="6"/>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聚焦自身经营定位和特色优势，着力</w:t>
      </w:r>
      <w:r>
        <w:rPr>
          <w:rFonts w:hint="eastAsia" w:ascii="仿宋_GB2312" w:hAnsi="仿宋_GB2312" w:eastAsia="仿宋_GB2312" w:cs="仿宋_GB2312"/>
          <w:color w:val="auto"/>
          <w:sz w:val="32"/>
          <w:szCs w:val="32"/>
          <w:lang w:eastAsia="zh-CN"/>
        </w:rPr>
        <w:t>深化</w:t>
      </w:r>
      <w:r>
        <w:rPr>
          <w:rFonts w:hint="eastAsia" w:ascii="仿宋_GB2312" w:hAnsi="仿宋_GB2312" w:eastAsia="仿宋_GB2312" w:cs="仿宋_GB2312"/>
          <w:color w:val="auto"/>
          <w:sz w:val="32"/>
          <w:szCs w:val="32"/>
        </w:rPr>
        <w:t>“惠企金融”“惠民金融”两大工程，将金融服务延伸到农村的“神经末梢”。</w:t>
      </w:r>
      <w:r>
        <w:rPr>
          <w:rFonts w:hint="eastAsia" w:ascii="仿宋_GB2312" w:hAnsi="仿宋_GB2312" w:eastAsia="仿宋_GB2312" w:cs="仿宋_GB2312"/>
          <w:color w:val="auto"/>
          <w:sz w:val="32"/>
          <w:szCs w:val="32"/>
          <w:lang w:eastAsia="zh-CN"/>
        </w:rPr>
        <w:t>持续建强</w:t>
      </w:r>
      <w:r>
        <w:rPr>
          <w:rFonts w:hint="eastAsia" w:ascii="仿宋_GB2312" w:hAnsi="仿宋_GB2312" w:eastAsia="仿宋_GB2312" w:cs="仿宋_GB2312"/>
          <w:color w:val="auto"/>
          <w:sz w:val="32"/>
          <w:szCs w:val="32"/>
        </w:rPr>
        <w:t>普惠金融服务点，推动金融服务</w:t>
      </w:r>
      <w:r>
        <w:rPr>
          <w:rFonts w:hint="eastAsia" w:ascii="仿宋_GB2312" w:hAnsi="仿宋_GB2312" w:eastAsia="仿宋_GB2312" w:cs="仿宋_GB2312"/>
          <w:color w:val="auto"/>
          <w:sz w:val="32"/>
          <w:szCs w:val="32"/>
          <w:lang w:eastAsia="zh-CN"/>
        </w:rPr>
        <w:t>持续</w:t>
      </w:r>
      <w:r>
        <w:rPr>
          <w:rFonts w:hint="eastAsia" w:ascii="仿宋_GB2312" w:hAnsi="仿宋_GB2312" w:eastAsia="仿宋_GB2312" w:cs="仿宋_GB2312"/>
          <w:color w:val="auto"/>
          <w:sz w:val="32"/>
          <w:szCs w:val="32"/>
        </w:rPr>
        <w:t>下沉。</w:t>
      </w:r>
      <w:r>
        <w:rPr>
          <w:rStyle w:val="6"/>
          <w:rFonts w:hint="eastAsia" w:ascii="仿宋_GB2312" w:hAnsi="仿宋_GB2312" w:eastAsia="仿宋_GB2312" w:cs="仿宋_GB2312"/>
          <w:bCs/>
          <w:color w:val="auto"/>
          <w:sz w:val="32"/>
          <w:szCs w:val="32"/>
          <w:lang w:eastAsia="zh-CN"/>
        </w:rPr>
        <w:t>精准</w:t>
      </w:r>
      <w:r>
        <w:rPr>
          <w:rStyle w:val="6"/>
          <w:rFonts w:hint="eastAsia" w:ascii="仿宋_GB2312" w:hAnsi="仿宋_GB2312" w:eastAsia="仿宋_GB2312" w:cs="仿宋_GB2312"/>
          <w:bCs/>
          <w:color w:val="auto"/>
          <w:sz w:val="32"/>
          <w:szCs w:val="32"/>
        </w:rPr>
        <w:t>增户拓面。</w:t>
      </w:r>
      <w:r>
        <w:rPr>
          <w:rFonts w:hint="eastAsia" w:ascii="仿宋_GB2312" w:hAnsi="仿宋_GB2312" w:eastAsia="仿宋_GB2312" w:cs="仿宋_GB2312"/>
          <w:color w:val="auto"/>
          <w:sz w:val="32"/>
          <w:szCs w:val="32"/>
        </w:rPr>
        <w:t>坚定做小做散、支农支小的市场定位，充分运用“网格化+大数据+铁脚板”治理机制，不断在走访营销的精准性、效率性、有效性上狠下功夫，增强增户拓面能力。以“过程监督+结果复查”双闭环，把走访做成“生产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确保走访成为稳存增存和客户经营的“第一现场”。</w:t>
      </w:r>
    </w:p>
    <w:p>
      <w:pPr>
        <w:keepNext w:val="0"/>
        <w:keepLines w:val="0"/>
        <w:pageBreakBefore w:val="0"/>
        <w:widowControl w:val="0"/>
        <w:pBdr>
          <w:top w:val="none" w:color="000000" w:sz="0" w:space="0"/>
          <w:left w:val="none" w:color="000000" w:sz="0" w:space="0"/>
          <w:bottom w:val="none" w:color="000000" w:sz="0" w:space="31"/>
          <w:right w:val="none" w:color="000000" w:sz="0" w:space="19"/>
        </w:pBdr>
        <w:kinsoku/>
        <w:wordWrap/>
        <w:overflowPunct/>
        <w:topLinePunct w:val="0"/>
        <w:autoSpaceDE/>
        <w:autoSpaceDN/>
        <w:bidi w:val="0"/>
        <w:adjustRightInd/>
        <w:snapToGrid/>
        <w:spacing w:line="520" w:lineRule="exact"/>
        <w:ind w:firstLine="643" w:firstLineChars="200"/>
        <w:contextualSpacing/>
        <w:textAlignment w:val="auto"/>
        <w:rPr>
          <w:rFonts w:hint="eastAsia" w:ascii="仿宋_GB2312" w:hAnsi="仿宋_GB2312" w:eastAsia="仿宋_GB2312" w:cs="仿宋_GB2312"/>
          <w:color w:val="0C0C0C" w:themeColor="text1" w:themeTint="F2"/>
          <w:kern w:val="32"/>
          <w:sz w:val="32"/>
          <w:szCs w:val="32"/>
          <w:highlight w:val="none"/>
          <w:lang w:val="en-US" w:eastAsia="zh-CN"/>
        </w:rPr>
      </w:pPr>
      <w:r>
        <w:rPr>
          <w:rFonts w:hint="eastAsia" w:ascii="仿宋_GB2312" w:hAnsi="仿宋_GB2312" w:eastAsia="仿宋_GB2312" w:cs="仿宋_GB2312"/>
          <w:b/>
          <w:bCs w:val="0"/>
          <w:color w:val="0C0C0C" w:themeColor="text1" w:themeTint="F2"/>
          <w:kern w:val="32"/>
          <w:sz w:val="32"/>
          <w:szCs w:val="32"/>
          <w:highlight w:val="none"/>
          <w:lang w:val="en-US" w:eastAsia="zh-CN"/>
        </w:rPr>
        <w:t>3.强化勇争一流，加快经营转型。</w:t>
      </w:r>
      <w:r>
        <w:rPr>
          <w:rFonts w:hint="eastAsia" w:ascii="仿宋_GB2312" w:hAnsi="仿宋_GB2312" w:eastAsia="仿宋_GB2312" w:cs="仿宋_GB2312"/>
          <w:b w:val="0"/>
          <w:color w:val="0C0C0C" w:themeColor="text1" w:themeTint="F2"/>
          <w:spacing w:val="0"/>
          <w:kern w:val="32"/>
          <w:position w:val="0"/>
          <w:sz w:val="32"/>
          <w:szCs w:val="32"/>
          <w:lang w:val="en-US" w:eastAsia="zh-CN" w:bidi="ar-SA"/>
        </w:rPr>
        <w:t>准确把握行业发展趋势，将“零售转型”作为提升盈利能力的有效突破口，构建差异化竞争优势的核心引擎。</w:t>
      </w:r>
      <w:r>
        <w:rPr>
          <w:rFonts w:hint="eastAsia" w:ascii="仿宋_GB2312" w:hAnsi="仿宋_GB2312" w:eastAsia="仿宋_GB2312" w:cs="仿宋_GB2312"/>
          <w:b/>
          <w:bCs/>
          <w:color w:val="0C0C0C" w:themeColor="text1" w:themeTint="F2"/>
          <w:spacing w:val="0"/>
          <w:kern w:val="32"/>
          <w:position w:val="0"/>
          <w:sz w:val="32"/>
          <w:szCs w:val="32"/>
          <w:lang w:val="en-US" w:eastAsia="zh-CN" w:bidi="ar-SA"/>
        </w:rPr>
        <w:t>优化负债结构，</w:t>
      </w:r>
      <w:r>
        <w:rPr>
          <w:rFonts w:hint="eastAsia" w:ascii="仿宋_GB2312" w:hAnsi="仿宋_GB2312" w:eastAsia="仿宋_GB2312" w:cs="仿宋_GB2312"/>
          <w:b w:val="0"/>
          <w:color w:val="0C0C0C" w:themeColor="text1" w:themeTint="F2"/>
          <w:spacing w:val="0"/>
          <w:kern w:val="32"/>
          <w:position w:val="0"/>
          <w:sz w:val="32"/>
          <w:szCs w:val="32"/>
          <w:lang w:val="en-US" w:eastAsia="zh-CN" w:bidi="ar-SA"/>
        </w:rPr>
        <w:t>强化低成本资金拓展，重点抓好代发工资、惠农补贴发放、收单等源头获客渠道，提升活期存款占比，全力摆脱落后局面。</w:t>
      </w:r>
      <w:r>
        <w:rPr>
          <w:rFonts w:hint="eastAsia" w:ascii="仿宋_GB2312" w:hAnsi="仿宋_GB2312" w:eastAsia="仿宋_GB2312" w:cs="仿宋_GB2312"/>
          <w:b/>
          <w:bCs/>
          <w:color w:val="0C0C0C" w:themeColor="text1" w:themeTint="F2"/>
          <w:spacing w:val="0"/>
          <w:kern w:val="32"/>
          <w:position w:val="0"/>
          <w:sz w:val="32"/>
          <w:szCs w:val="32"/>
          <w:lang w:val="en-US" w:eastAsia="zh-CN" w:bidi="ar-SA"/>
        </w:rPr>
        <w:t>推进零售转型，</w:t>
      </w:r>
      <w:r>
        <w:rPr>
          <w:rFonts w:hint="eastAsia" w:ascii="仿宋_GB2312" w:hAnsi="仿宋_GB2312" w:eastAsia="仿宋_GB2312" w:cs="仿宋_GB2312"/>
          <w:b w:val="0"/>
          <w:color w:val="0C0C0C" w:themeColor="text1" w:themeTint="F2"/>
          <w:spacing w:val="0"/>
          <w:kern w:val="32"/>
          <w:position w:val="0"/>
          <w:sz w:val="32"/>
          <w:szCs w:val="32"/>
          <w:lang w:val="en-US" w:eastAsia="zh-CN" w:bidi="ar-SA"/>
        </w:rPr>
        <w:t>聚焦零售转型，对产品服务、考核模式等进行优化完善，努力将零售业务打造成高质量发展的新引擎和利润增长点。</w:t>
      </w:r>
      <w:r>
        <w:rPr>
          <w:rFonts w:hint="eastAsia" w:ascii="仿宋_GB2312" w:hAnsi="仿宋_GB2312" w:eastAsia="仿宋_GB2312" w:cs="仿宋_GB2312"/>
          <w:b/>
          <w:bCs/>
          <w:color w:val="0C0C0C" w:themeColor="text1" w:themeTint="F2"/>
          <w:spacing w:val="0"/>
          <w:kern w:val="32"/>
          <w:position w:val="0"/>
          <w:sz w:val="32"/>
          <w:szCs w:val="32"/>
          <w:lang w:val="en-US" w:eastAsia="zh-CN" w:bidi="ar-SA"/>
        </w:rPr>
        <w:t>拓展金融场景，</w:t>
      </w:r>
      <w:r>
        <w:rPr>
          <w:rFonts w:hint="eastAsia" w:ascii="仿宋_GB2312" w:hAnsi="仿宋_GB2312" w:eastAsia="仿宋_GB2312" w:cs="仿宋_GB2312"/>
          <w:b w:val="0"/>
          <w:color w:val="0C0C0C" w:themeColor="text1" w:themeTint="F2"/>
          <w:spacing w:val="0"/>
          <w:kern w:val="32"/>
          <w:position w:val="0"/>
          <w:sz w:val="32"/>
          <w:szCs w:val="32"/>
          <w:lang w:val="en-US" w:eastAsia="zh-CN" w:bidi="ar-SA"/>
        </w:rPr>
        <w:t>树立“金融生态圈”理念，持续加强渠道建设，丰富产品功能，准确把握百姓衣、食、住、行、学、娱、医等多方面的服务需求。利用决策链短的优势，更好地满足客户差异化的服务需求。拓展社保卡应用场景，将社保卡业务抓在经常、做在日常。持续加大外联外拓力度，构建更加紧密的政、银、企合作关系。</w:t>
      </w:r>
      <w:r>
        <w:rPr>
          <w:rFonts w:hint="eastAsia" w:ascii="仿宋_GB2312" w:hAnsi="仿宋_GB2312" w:eastAsia="仿宋_GB2312" w:cs="仿宋_GB2312"/>
          <w:b/>
          <w:bCs/>
          <w:color w:val="0C0C0C" w:themeColor="text1" w:themeTint="F2"/>
          <w:spacing w:val="0"/>
          <w:kern w:val="32"/>
          <w:position w:val="0"/>
          <w:sz w:val="32"/>
          <w:szCs w:val="32"/>
          <w:lang w:val="en-US" w:eastAsia="zh-CN" w:bidi="ar-SA"/>
        </w:rPr>
        <w:t>加快网点转型，</w:t>
      </w:r>
      <w:r>
        <w:rPr>
          <w:rFonts w:hint="eastAsia" w:ascii="仿宋_GB2312" w:hAnsi="仿宋_GB2312" w:eastAsia="仿宋_GB2312" w:cs="仿宋_GB2312"/>
          <w:color w:val="0C0C0C" w:themeColor="text1" w:themeTint="F2"/>
          <w:spacing w:val="0"/>
          <w:kern w:val="32"/>
          <w:sz w:val="32"/>
          <w:szCs w:val="32"/>
          <w:lang w:val="en-US" w:eastAsia="zh-CN" w:bidi="ar-SA"/>
        </w:rPr>
        <w:t>立足本地市场，聚焦地方主导和特色产业、特定客群、特色场景及特色文化等领域，加强客户细分，创新个性化、精准化、特色化的专属金融产品和服务，全面提升网点综合产能。做好网点的优化摆布，努力实现“物理网点做减法、服务质效做加法、客户价值做乘法”。</w:t>
      </w:r>
      <w:r>
        <w:rPr>
          <w:rFonts w:hint="eastAsia" w:ascii="仿宋_GB2312" w:hAnsi="仿宋_GB2312" w:eastAsia="仿宋_GB2312" w:cs="仿宋_GB2312"/>
          <w:b/>
          <w:bCs/>
          <w:color w:val="0C0C0C" w:themeColor="text1" w:themeTint="F2"/>
          <w:spacing w:val="0"/>
          <w:kern w:val="32"/>
          <w:position w:val="0"/>
          <w:sz w:val="32"/>
          <w:szCs w:val="32"/>
          <w:lang w:val="en-US" w:eastAsia="zh-CN" w:bidi="ar-SA"/>
        </w:rPr>
        <w:t>加强科技赋能。</w:t>
      </w:r>
      <w:r>
        <w:rPr>
          <w:rFonts w:hint="eastAsia" w:ascii="仿宋_GB2312" w:hAnsi="仿宋_GB2312" w:eastAsia="仿宋_GB2312" w:cs="仿宋_GB2312"/>
          <w:color w:val="0C0C0C" w:themeColor="text1" w:themeTint="F2"/>
          <w:spacing w:val="0"/>
          <w:kern w:val="32"/>
          <w:sz w:val="32"/>
          <w:szCs w:val="32"/>
          <w:lang w:val="en-US" w:eastAsia="zh-CN" w:bidi="ar-SA"/>
        </w:rPr>
        <w:t>坚持科技、数据“双轮驱动”理念，加快构建以大数据为支撑的营销平台，通过细分客户，提供精准服务。</w:t>
      </w:r>
      <w:r>
        <w:rPr>
          <w:rFonts w:hint="eastAsia" w:ascii="仿宋_GB2312" w:hAnsi="仿宋_GB2312" w:eastAsia="仿宋_GB2312" w:cs="仿宋_GB2312"/>
          <w:snapToGrid w:val="0"/>
          <w:color w:val="0C0C0C" w:themeColor="text1" w:themeTint="F2"/>
          <w:spacing w:val="0"/>
          <w:kern w:val="32"/>
          <w:sz w:val="32"/>
          <w:szCs w:val="32"/>
          <w:lang w:val="en-US" w:eastAsia="zh-CN" w:bidi="ar-SA"/>
        </w:rPr>
        <w:t>深化推进“三做”“三用”工程，提升数据分析、整合和应用能力，形成流程化、标准化的信贷产品体系，满足“三农两小”“快”“简”“频”的信贷需求。</w:t>
      </w:r>
      <w:r>
        <w:rPr>
          <w:rFonts w:hint="eastAsia" w:ascii="仿宋_GB2312" w:hAnsi="仿宋_GB2312" w:eastAsia="仿宋_GB2312" w:cs="仿宋_GB2312"/>
          <w:color w:val="0C0C0C" w:themeColor="text1" w:themeTint="F2"/>
          <w:kern w:val="32"/>
          <w:sz w:val="32"/>
          <w:szCs w:val="32"/>
          <w:highlight w:val="none"/>
          <w:lang w:val="en-US" w:eastAsia="zh-CN"/>
        </w:rPr>
        <w:t>增强“AI+”意识，全面提升基础运营的数字化水平与业务发展的智能化效能。</w:t>
      </w:r>
    </w:p>
    <w:p>
      <w:pPr>
        <w:keepNext w:val="0"/>
        <w:keepLines w:val="0"/>
        <w:pageBreakBefore w:val="0"/>
        <w:widowControl w:val="0"/>
        <w:pBdr>
          <w:top w:val="none" w:color="000000" w:sz="0" w:space="0"/>
          <w:left w:val="none" w:color="000000" w:sz="0" w:space="0"/>
          <w:bottom w:val="none" w:color="000000" w:sz="0" w:space="31"/>
          <w:right w:val="none" w:color="000000" w:sz="0" w:space="19"/>
        </w:pBdr>
        <w:kinsoku/>
        <w:wordWrap/>
        <w:overflowPunct/>
        <w:topLinePunct w:val="0"/>
        <w:autoSpaceDE/>
        <w:autoSpaceDN/>
        <w:bidi w:val="0"/>
        <w:adjustRightInd/>
        <w:snapToGrid/>
        <w:spacing w:line="520" w:lineRule="exact"/>
        <w:ind w:firstLine="643" w:firstLineChars="200"/>
        <w:contextualSpacing/>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val="0"/>
          <w:color w:val="0C0C0C" w:themeColor="text1" w:themeTint="F2"/>
          <w:kern w:val="32"/>
          <w:sz w:val="32"/>
          <w:szCs w:val="32"/>
          <w:highlight w:val="none"/>
          <w:lang w:val="en-US" w:eastAsia="zh-CN"/>
        </w:rPr>
        <w:t>4.强化作风建设，砥砺实干担当。</w:t>
      </w:r>
      <w:r>
        <w:rPr>
          <w:rFonts w:hint="eastAsia" w:ascii="仿宋_GB2312" w:hAnsi="仿宋_GB2312" w:eastAsia="仿宋_GB2312" w:cs="仿宋_GB2312"/>
          <w:snapToGrid w:val="0"/>
          <w:color w:val="0C0C0C" w:themeColor="text1" w:themeTint="F2"/>
          <w:spacing w:val="0"/>
          <w:kern w:val="32"/>
          <w:sz w:val="32"/>
          <w:szCs w:val="32"/>
          <w:lang w:val="en-US" w:eastAsia="zh-CN" w:bidi="ar-SA"/>
        </w:rPr>
        <w:t>聚焦改革发展稳定的痛点难点，加强责任落实和压力传导，推动全员切实将高质量发展责任扛在肩上、抓在手上、落在行动上。</w:t>
      </w:r>
      <w:r>
        <w:rPr>
          <w:rFonts w:hint="eastAsia" w:ascii="仿宋_GB2312" w:hAnsi="仿宋_GB2312" w:eastAsia="仿宋_GB2312" w:cs="仿宋_GB2312"/>
          <w:b/>
          <w:bCs/>
          <w:color w:val="0C0C0C" w:themeColor="text1" w:themeTint="F2"/>
          <w:spacing w:val="0"/>
          <w:kern w:val="32"/>
          <w:position w:val="0"/>
          <w:sz w:val="32"/>
          <w:szCs w:val="32"/>
          <w:lang w:val="en-US" w:eastAsia="zh-CN" w:bidi="ar-SA"/>
        </w:rPr>
        <w:t>全面深化管党治党。</w:t>
      </w:r>
      <w:r>
        <w:rPr>
          <w:rFonts w:hint="eastAsia" w:ascii="仿宋_GB2312" w:hAnsi="仿宋_GB2312" w:eastAsia="仿宋_GB2312" w:cs="仿宋_GB2312"/>
          <w:color w:val="0C0C0C" w:themeColor="text1" w:themeTint="F2"/>
          <w:spacing w:val="0"/>
          <w:kern w:val="32"/>
          <w:sz w:val="32"/>
          <w:szCs w:val="32"/>
          <w:lang w:val="en-US" w:eastAsia="zh-CN" w:bidi="ar-SA"/>
        </w:rPr>
        <w:t>坚定不移全面从严治党，全面一体落实好推进党的自我革命“五个进一步到位”要求，树立和践行正确政绩观，持续加强和改进作风，在全行上下形成“比贡献份额、比质量效益、比努力程度、比提升幅度”的比学赶超热潮，汇聚起攻坚克难、拼搏奋进的磅礴力量。强化政治引领，切实加强理论武装，守牢意识形态阵地，巩固拓展深入贯彻中央八项规定精神学习教育成果，加大对实体经济支持力度，真正做到思想上对标对表、政治上紧跟紧随、行动上坚定坚决。实施“堡垒工程”“根须工程”“家园工程”，提升抓党建促发展能力水平。</w:t>
      </w:r>
      <w:r>
        <w:rPr>
          <w:rFonts w:hint="eastAsia" w:ascii="仿宋_GB2312" w:hAnsi="仿宋_GB2312" w:eastAsia="仿宋_GB2312" w:cs="仿宋_GB2312"/>
          <w:b/>
          <w:bCs/>
          <w:color w:val="0C0C0C" w:themeColor="text1" w:themeTint="F2"/>
          <w:spacing w:val="0"/>
          <w:kern w:val="32"/>
          <w:position w:val="0"/>
          <w:sz w:val="32"/>
          <w:szCs w:val="32"/>
          <w:lang w:val="en-US" w:eastAsia="zh-CN" w:bidi="ar-SA"/>
        </w:rPr>
        <w:t>加强企业文化建设。</w:t>
      </w:r>
      <w:r>
        <w:rPr>
          <w:rFonts w:hint="eastAsia" w:ascii="仿宋_GB2312" w:hAnsi="仿宋_GB2312" w:eastAsia="仿宋_GB2312" w:cs="仿宋_GB2312"/>
          <w:color w:val="0C0C0C" w:themeColor="text1" w:themeTint="F2"/>
          <w:spacing w:val="0"/>
          <w:kern w:val="32"/>
          <w:sz w:val="32"/>
          <w:szCs w:val="32"/>
          <w:lang w:val="en-US" w:eastAsia="zh-CN" w:bidi="ar-SA"/>
        </w:rPr>
        <w:t>牢固树立“以客户为中心”“以奋斗者为本”的价值理念，持续强化“用户思维”，注重“客户体验”，系统破解业务卡点和流程堵点，不断增强客户的获得感、满意度。弘扬“背包精神”、吃苦精神和奋斗文化，加大对服务形象大使、十佳员工、“鼎星・客户经理”等各类荣誉获得者的激励、宣传、培养力度，</w:t>
      </w:r>
      <w:bookmarkStart w:id="14" w:name="_GoBack"/>
      <w:bookmarkEnd w:id="14"/>
      <w:r>
        <w:rPr>
          <w:rFonts w:hint="eastAsia" w:ascii="仿宋_GB2312" w:hAnsi="仿宋_GB2312" w:eastAsia="仿宋_GB2312" w:cs="仿宋_GB2312"/>
          <w:color w:val="0C0C0C" w:themeColor="text1" w:themeTint="F2"/>
          <w:spacing w:val="0"/>
          <w:kern w:val="32"/>
          <w:sz w:val="32"/>
          <w:szCs w:val="32"/>
          <w:lang w:val="en-US" w:eastAsia="zh-CN" w:bidi="ar-SA"/>
        </w:rPr>
        <w:t>通过选树标杆，发挥榜样示范引领作用，全面提振干部职工队伍干事创业精气神。</w:t>
      </w:r>
      <w:r>
        <w:rPr>
          <w:rFonts w:hint="eastAsia" w:ascii="仿宋_GB2312" w:hAnsi="仿宋_GB2312" w:eastAsia="仿宋_GB2312" w:cs="仿宋_GB2312"/>
          <w:b/>
          <w:bCs/>
          <w:color w:val="0C0C0C" w:themeColor="text1" w:themeTint="F2"/>
          <w:spacing w:val="0"/>
          <w:kern w:val="32"/>
          <w:position w:val="0"/>
          <w:sz w:val="32"/>
          <w:szCs w:val="32"/>
          <w:lang w:val="en-US" w:eastAsia="zh-CN" w:bidi="ar-SA"/>
        </w:rPr>
        <w:t>营造风清气正生态。</w:t>
      </w:r>
      <w:r>
        <w:rPr>
          <w:rFonts w:hint="eastAsia" w:ascii="仿宋_GB2312" w:hAnsi="仿宋_GB2312" w:eastAsia="仿宋_GB2312" w:cs="仿宋_GB2312"/>
          <w:color w:val="0C0C0C" w:themeColor="text1" w:themeTint="F2"/>
          <w:spacing w:val="0"/>
          <w:kern w:val="32"/>
          <w:sz w:val="32"/>
          <w:szCs w:val="32"/>
          <w:lang w:val="en-US" w:eastAsia="zh-CN" w:bidi="ar-SA"/>
        </w:rPr>
        <w:t>以永远在路上的坚韧深化作风建设，一体贯通“不敢腐、不能腐、不想腐”机制，保持惩腐肃纪高压态势，强化震慑效应。靶向纠治形式主义顽疾，切实为基层松绑减负，让干部员工心无旁骛抓落实。建强领导班子，推动成员带头严于律己、严负其责、严管所辖，形成一级做给一级看、一级带着一级干的生动局面。</w:t>
      </w:r>
    </w:p>
    <w:sectPr>
      <w:headerReference r:id="rId3" w:type="default"/>
      <w:footerReference r:id="rId4" w:type="default"/>
      <w:pgSz w:w="11905" w:h="168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黑体">
    <w:panose1 w:val="02010600040101010101"/>
    <w:charset w:val="86"/>
    <w:family w:val="auto"/>
    <w:pitch w:val="default"/>
    <w:sig w:usb0="A00002FF" w:usb1="7ACF7CFB" w:usb2="00020017" w:usb3="00000000" w:csb0="6016009F" w:csb1="9FD70000"/>
  </w:font>
  <w:font w:name="方正兰亭超细黑简体">
    <w:panose1 w:val="02000000000000000000"/>
    <w:charset w:val="86"/>
    <w:family w:val="auto"/>
    <w:pitch w:val="default"/>
    <w:sig w:usb0="00000001" w:usb1="08000000" w:usb2="00000000" w:usb3="00000000" w:csb0="00040000" w:csb1="00000000"/>
  </w:font>
  <w:font w:name="方正正粗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FangSong_GB2312">
    <w:altName w:val="仿宋_GB2312"/>
    <w:panose1 w:val="02010609030101010101"/>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___WRD_EMBED_SUB_47">
    <w:altName w:val="宋体"/>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华文宋体">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MS PGothic">
    <w:panose1 w:val="020B0600070205080204"/>
    <w:charset w:val="80"/>
    <w:family w:val="auto"/>
    <w:pitch w:val="default"/>
    <w:sig w:usb0="E00002FF" w:usb1="6AC7FDFB" w:usb2="00000012" w:usb3="00000000" w:csb0="4002009F" w:csb1="DFD70000"/>
  </w:font>
  <w:font w:name="华文新魏">
    <w:altName w:val="宋体"/>
    <w:panose1 w:val="02010800040101010101"/>
    <w:charset w:val="86"/>
    <w:family w:val="auto"/>
    <w:pitch w:val="default"/>
    <w:sig w:usb0="00000000" w:usb1="00000000" w:usb2="00000000" w:usb3="00000000" w:csb0="00040000" w:csb1="00000000"/>
  </w:font>
  <w:font w:name="华文彩云">
    <w:altName w:val="微软雅黑"/>
    <w:panose1 w:val="02010800040101010101"/>
    <w:charset w:val="86"/>
    <w:family w:val="auto"/>
    <w:pitch w:val="default"/>
    <w:sig w:usb0="00000000" w:usb1="00000000" w:usb2="00000000" w:usb3="00000000" w:csb0="00040000" w:csb1="00000000"/>
  </w:font>
  <w:font w:name="方正公文小标宋">
    <w:altName w:val="宋体"/>
    <w:panose1 w:val="02000500000000000000"/>
    <w:charset w:val="86"/>
    <w:family w:val="auto"/>
    <w:pitch w:val="default"/>
    <w:sig w:usb0="00000000" w:usb1="00000000" w:usb2="00000000" w:usb3="00000000" w:csb0="00000000" w:csb1="00000000"/>
  </w:font>
  <w:font w:name="Arial Unicode MS">
    <w:altName w:val="Arial"/>
    <w:panose1 w:val="020B0604020202020204"/>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楷体_GB2312">
    <w:altName w:val="楷体_GB2312"/>
    <w:panose1 w:val="02000000000000000000"/>
    <w:charset w:val="86"/>
    <w:family w:val="auto"/>
    <w:pitch w:val="default"/>
    <w:sig w:usb0="00000000" w:usb1="00000000" w:usb2="00000000" w:usb3="00000000" w:csb0="00000000"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仿宋">
    <w:panose1 w:val="02010609060101010101"/>
    <w:charset w:val="7A"/>
    <w:family w:val="modern"/>
    <w:pitch w:val="default"/>
    <w:sig w:usb0="800002BF" w:usb1="38CF7CFA" w:usb2="00000016" w:usb3="00000000" w:csb0="00040001" w:csb1="00000000"/>
  </w:font>
  <w:font w:name="华文中宋">
    <w:panose1 w:val="02010600040101010101"/>
    <w:charset w:val="7A"/>
    <w:family w:val="auto"/>
    <w:pitch w:val="default"/>
    <w:sig w:usb0="00000287" w:usb1="080F0000" w:usb2="00000000" w:usb3="00000000" w:csb0="0004009F" w:csb1="DFD70000"/>
  </w:font>
  <w:font w:name="华文仿宋">
    <w:altName w:val="仿宋"/>
    <w:panose1 w:val="02010600040000010101"/>
    <w:charset w:val="7A"/>
    <w:family w:val="auto"/>
    <w:pitch w:val="default"/>
    <w:sig w:usb0="00000000" w:usb1="00000000" w:usb2="00000010" w:usb3="00000000" w:csb0="0004009F" w:csb1="00000000"/>
  </w:font>
  <w:font w:name="微软雅黑">
    <w:panose1 w:val="020B0503020204020204"/>
    <w:charset w:val="7A"/>
    <w:family w:val="swiss"/>
    <w:pitch w:val="default"/>
    <w:sig w:usb0="80000287" w:usb1="280F3C52" w:usb2="00000016" w:usb3="00000000" w:csb0="0004001F" w:csb1="00000000"/>
  </w:font>
  <w:font w:name="inherit">
    <w:altName w:val="Times New Roman"/>
    <w:panose1 w:val="00000000000000000000"/>
    <w:charset w:val="00"/>
    <w:family w:val="roman"/>
    <w:pitch w:val="default"/>
    <w:sig w:usb0="00000000" w:usb1="00000000" w:usb2="00000000" w:usb3="00000000" w:csb0="00000000" w:csb1="00000000"/>
  </w:font>
  <w:font w:name="”“Times New Roman”“">
    <w:altName w:val="宋体"/>
    <w:panose1 w:val="00000000000000000000"/>
    <w:charset w:val="86"/>
    <w:family w:val="roman"/>
    <w:pitch w:val="default"/>
    <w:sig w:usb0="00000000" w:usb1="00000000" w:usb2="00000010" w:usb3="00000000" w:csb0="00040000" w:csb1="00000000"/>
  </w:font>
  <w:font w:name="Segoe UI">
    <w:panose1 w:val="020B0502040204020203"/>
    <w:charset w:val="00"/>
    <w:family w:val="auto"/>
    <w:pitch w:val="default"/>
    <w:sig w:usb0="E10022FF" w:usb1="C000E47F" w:usb2="00000029" w:usb3="00000000" w:csb0="200001DF" w:csb1="2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compat>
    <w:useFELayout/>
    <w:splitPgBreakAndParaMark/>
    <w:compatSetting w:name="compatibilityMode" w:uri="http://schemas.microsoft.com/office/word" w:val="12"/>
  </w:compat>
  <w:rsids>
    <w:rsidRoot w:val="00000000"/>
    <w:rsid w:val="1EDF5508"/>
    <w:rsid w:val="261C595E"/>
    <w:rsid w:val="2E4027ED"/>
    <w:rsid w:val="3BF81F8A"/>
    <w:rsid w:val="3DBD14F8"/>
    <w:rsid w:val="491A1E6F"/>
    <w:rsid w:val="63BF3493"/>
    <w:rsid w:val="660474BC"/>
    <w:rsid w:val="694664B1"/>
    <w:rsid w:val="69CD1B6A"/>
    <w:rsid w:val="779B2904"/>
    <w:rsid w:val="7BA218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uiPriority w:val="0"/>
    <w:pPr>
      <w:ind w:firstLine="420" w:firstLineChars="200"/>
    </w:pPr>
    <w:rPr>
      <w:szCs w:val="24"/>
    </w:rPr>
  </w:style>
  <w:style w:type="paragraph" w:styleId="3">
    <w:name w:val="Balloon Text"/>
    <w:basedOn w:val="1"/>
    <w:qFormat/>
    <w:uiPriority w:val="0"/>
    <w:rPr>
      <w:sz w:val="18"/>
      <w:szCs w:val="18"/>
    </w:rPr>
  </w:style>
  <w:style w:type="paragraph" w:styleId="4">
    <w:name w:val="Title"/>
    <w:basedOn w:val="1"/>
    <w:next w:val="1"/>
    <w:qFormat/>
    <w:uiPriority w:val="0"/>
    <w:pPr>
      <w:jc w:val="center"/>
      <w:outlineLvl w:val="0"/>
    </w:pPr>
    <w:rPr>
      <w:b/>
      <w:sz w:val="32"/>
    </w:rPr>
  </w:style>
  <w:style w:type="character" w:styleId="6">
    <w:name w:val="Strong"/>
    <w:qFormat/>
    <w:uiPriority w:val="0"/>
    <w:rPr>
      <w:b/>
    </w:rPr>
  </w:style>
  <w:style w:type="paragraph" w:customStyle="1" w:styleId="8">
    <w:name w:val="三级1"/>
    <w:next w:val="4"/>
    <w:qFormat/>
    <w:uiPriority w:val="0"/>
    <w:pPr>
      <w:ind w:left="2422" w:hanging="720"/>
    </w:pPr>
    <w:rPr>
      <w:rFonts w:ascii="宋体" w:hAnsi="宋体" w:eastAsia="仿宋_GB2312" w:cs="Times New Roman"/>
      <w:spacing w:val="10"/>
      <w:sz w:val="3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ScaleCrop>false</ScaleCrop>
  <LinksUpToDate>false</LinksUpToDate>
  <Application>WPS Office_10.8.0.6206_F1E327BC-269C-435d-A152-05C5408002CA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2026-02-25T09:42:00Z</dcterms:created>
  <dc:creator>Apache POI</dc:creator>
  <cp:lastModifiedBy>未定义</cp:lastModifiedBy>
  <dcterms:modified xsi:type="dcterms:W3CDTF">2026-03-03T02:40:20Z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